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56B4" w14:textId="77777777" w:rsidR="0039434D" w:rsidRPr="00EE2299" w:rsidRDefault="00A87FB6" w:rsidP="00683FE6">
      <w:pPr>
        <w:tabs>
          <w:tab w:val="left" w:pos="196"/>
        </w:tabs>
        <w:spacing w:line="276" w:lineRule="auto"/>
        <w:ind w:right="113"/>
        <w:jc w:val="both"/>
        <w:rPr>
          <w:sz w:val="32"/>
          <w:szCs w:val="32"/>
          <w:lang w:val="pl-PL"/>
        </w:rPr>
      </w:pPr>
      <w:r w:rsidRPr="00EE2299">
        <w:rPr>
          <w:b/>
          <w:sz w:val="32"/>
          <w:szCs w:val="32"/>
          <w:lang w:val="pl-PL"/>
        </w:rPr>
        <w:t>ULOTKA INFORMACYJNA</w:t>
      </w:r>
    </w:p>
    <w:p w14:paraId="225F040B" w14:textId="77777777" w:rsidR="0039434D" w:rsidRPr="00EE2299" w:rsidRDefault="0039434D" w:rsidP="00683FE6">
      <w:pPr>
        <w:tabs>
          <w:tab w:val="left" w:pos="196"/>
        </w:tabs>
        <w:spacing w:line="276" w:lineRule="auto"/>
        <w:jc w:val="both"/>
        <w:rPr>
          <w:sz w:val="32"/>
          <w:szCs w:val="32"/>
          <w:lang w:val="pl-PL"/>
        </w:rPr>
      </w:pPr>
    </w:p>
    <w:p w14:paraId="322AECDE" w14:textId="77777777" w:rsidR="00680665" w:rsidRPr="00EE2299" w:rsidRDefault="00082E86" w:rsidP="00683FE6">
      <w:pPr>
        <w:spacing w:line="276" w:lineRule="auto"/>
        <w:jc w:val="both"/>
        <w:rPr>
          <w:b/>
          <w:sz w:val="28"/>
          <w:szCs w:val="28"/>
          <w:lang w:val="pl-PL"/>
        </w:rPr>
      </w:pPr>
      <w:r w:rsidRPr="00EE2299">
        <w:rPr>
          <w:b/>
          <w:sz w:val="28"/>
          <w:szCs w:val="28"/>
          <w:lang w:val="pl-PL"/>
        </w:rPr>
        <w:t>QIVITAN</w:t>
      </w:r>
      <w:r w:rsidR="008370F1" w:rsidRPr="00EE2299">
        <w:rPr>
          <w:b/>
          <w:sz w:val="28"/>
          <w:szCs w:val="28"/>
          <w:lang w:val="pl-PL"/>
        </w:rPr>
        <w:t xml:space="preserve"> </w:t>
      </w:r>
      <w:r w:rsidR="004B6BB4" w:rsidRPr="00EE2299">
        <w:rPr>
          <w:b/>
          <w:sz w:val="28"/>
          <w:szCs w:val="28"/>
          <w:lang w:val="pl-PL"/>
        </w:rPr>
        <w:t>LC 7</w:t>
      </w:r>
      <w:r w:rsidR="00A87FB6" w:rsidRPr="00EE2299">
        <w:rPr>
          <w:b/>
          <w:sz w:val="28"/>
          <w:szCs w:val="28"/>
          <w:lang w:val="pl-PL"/>
        </w:rPr>
        <w:t>5</w:t>
      </w:r>
      <w:r w:rsidR="008370F1" w:rsidRPr="00EE2299">
        <w:rPr>
          <w:b/>
          <w:sz w:val="28"/>
          <w:szCs w:val="28"/>
          <w:lang w:val="pl-PL"/>
        </w:rPr>
        <w:t xml:space="preserve"> m</w:t>
      </w:r>
      <w:r w:rsidR="00A87FB6" w:rsidRPr="00EE2299">
        <w:rPr>
          <w:b/>
          <w:sz w:val="28"/>
          <w:szCs w:val="28"/>
          <w:lang w:val="pl-PL"/>
        </w:rPr>
        <w:t>g</w:t>
      </w:r>
    </w:p>
    <w:p w14:paraId="33CDD671" w14:textId="77777777" w:rsidR="008370F1" w:rsidRPr="00EE2299" w:rsidRDefault="004B6BB4" w:rsidP="00683FE6">
      <w:pPr>
        <w:spacing w:line="276" w:lineRule="auto"/>
        <w:jc w:val="both"/>
        <w:rPr>
          <w:sz w:val="24"/>
          <w:szCs w:val="24"/>
          <w:lang w:val="pl-PL"/>
        </w:rPr>
      </w:pPr>
      <w:r w:rsidRPr="00EE2299">
        <w:rPr>
          <w:rFonts w:eastAsia="Times New Roman"/>
          <w:bCs/>
          <w:sz w:val="24"/>
          <w:szCs w:val="24"/>
          <w:lang w:val="pl-PL" w:eastAsia="pl-PL"/>
        </w:rPr>
        <w:t>maść dowymieniowa dla krów w okresie laktacji</w:t>
      </w:r>
    </w:p>
    <w:p w14:paraId="7AA88610" w14:textId="77777777" w:rsidR="00680665" w:rsidRPr="00EE2299" w:rsidRDefault="00680665" w:rsidP="00683FE6">
      <w:pPr>
        <w:spacing w:line="276" w:lineRule="auto"/>
        <w:jc w:val="both"/>
        <w:rPr>
          <w:sz w:val="24"/>
          <w:szCs w:val="24"/>
          <w:lang w:val="pl-PL"/>
        </w:rPr>
      </w:pPr>
    </w:p>
    <w:p w14:paraId="2E2C0BED" w14:textId="77777777" w:rsidR="00EE2299" w:rsidRPr="00EE2299" w:rsidRDefault="00EE2299" w:rsidP="00683FE6">
      <w:pPr>
        <w:spacing w:line="276" w:lineRule="auto"/>
        <w:jc w:val="both"/>
        <w:rPr>
          <w:sz w:val="24"/>
          <w:szCs w:val="24"/>
          <w:lang w:val="pl-PL"/>
        </w:rPr>
      </w:pPr>
    </w:p>
    <w:p w14:paraId="6AD23D2A" w14:textId="77777777" w:rsidR="008370F1" w:rsidRPr="00EE2299" w:rsidRDefault="008370F1" w:rsidP="00683FE6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1.</w:t>
      </w:r>
      <w:r w:rsidRPr="00EE2299">
        <w:rPr>
          <w:b/>
          <w:sz w:val="20"/>
          <w:szCs w:val="20"/>
          <w:lang w:val="pl-PL"/>
        </w:rPr>
        <w:tab/>
      </w:r>
      <w:r w:rsidR="00A87FB6" w:rsidRPr="00EE2299">
        <w:rPr>
          <w:b/>
          <w:sz w:val="20"/>
          <w:szCs w:val="20"/>
          <w:lang w:val="pl-PL"/>
        </w:rPr>
        <w:t>NAZWA I ADRES PODMIOTU ODPOWIEDZIALNEGO ORAZ WYTWÓRCY ODPOWIEDZIALNEGO ZA ZWOLNIENIE SERII, JEŚLI</w:t>
      </w:r>
      <w:r w:rsidR="00FF3D97" w:rsidRPr="00EE2299">
        <w:rPr>
          <w:b/>
          <w:sz w:val="20"/>
          <w:szCs w:val="20"/>
          <w:lang w:val="pl-PL"/>
        </w:rPr>
        <w:t xml:space="preserve"> JEST INNY</w:t>
      </w:r>
    </w:p>
    <w:p w14:paraId="1E816BB2" w14:textId="77777777" w:rsidR="00082E86" w:rsidRPr="00EE2299" w:rsidRDefault="00082E86" w:rsidP="00683FE6">
      <w:pPr>
        <w:spacing w:line="276" w:lineRule="auto"/>
        <w:jc w:val="both"/>
        <w:rPr>
          <w:iCs/>
          <w:sz w:val="20"/>
          <w:szCs w:val="20"/>
          <w:lang w:val="pl-PL"/>
        </w:rPr>
      </w:pPr>
      <w:r w:rsidRPr="00EE2299">
        <w:rPr>
          <w:sz w:val="20"/>
          <w:szCs w:val="20"/>
          <w:u w:val="single"/>
          <w:lang w:val="pl-PL"/>
        </w:rPr>
        <w:t>Podmiot odpowiedzialny</w:t>
      </w:r>
      <w:r w:rsidRPr="00EE2299">
        <w:rPr>
          <w:sz w:val="20"/>
          <w:szCs w:val="20"/>
          <w:lang w:val="pl-PL"/>
        </w:rPr>
        <w:t>:</w:t>
      </w:r>
    </w:p>
    <w:p w14:paraId="660D53D1" w14:textId="77777777" w:rsidR="00082E86" w:rsidRPr="00EE2299" w:rsidRDefault="00082E86" w:rsidP="00683FE6">
      <w:pPr>
        <w:pStyle w:val="Tekstpodstawowy"/>
        <w:tabs>
          <w:tab w:val="left" w:pos="482"/>
        </w:tabs>
        <w:spacing w:line="276" w:lineRule="auto"/>
        <w:jc w:val="both"/>
        <w:rPr>
          <w:lang w:val="pl-PL"/>
        </w:rPr>
      </w:pPr>
      <w:r w:rsidRPr="00EE2299">
        <w:rPr>
          <w:lang w:val="pl-PL"/>
        </w:rPr>
        <w:t xml:space="preserve">LIVISTO </w:t>
      </w:r>
      <w:proofErr w:type="spellStart"/>
      <w:r w:rsidRPr="00EE2299">
        <w:rPr>
          <w:lang w:val="pl-PL"/>
        </w:rPr>
        <w:t>Int’l</w:t>
      </w:r>
      <w:proofErr w:type="spellEnd"/>
      <w:r w:rsidRPr="00EE2299">
        <w:rPr>
          <w:lang w:val="pl-PL"/>
        </w:rPr>
        <w:t>, S.L.</w:t>
      </w:r>
    </w:p>
    <w:p w14:paraId="2855760F" w14:textId="77777777" w:rsidR="00082E86" w:rsidRPr="00EE2299" w:rsidRDefault="00082E86" w:rsidP="00683FE6">
      <w:pPr>
        <w:tabs>
          <w:tab w:val="left" w:pos="482"/>
        </w:tabs>
        <w:adjustRightInd w:val="0"/>
        <w:spacing w:line="276" w:lineRule="auto"/>
        <w:jc w:val="both"/>
        <w:rPr>
          <w:color w:val="000000"/>
          <w:sz w:val="20"/>
          <w:szCs w:val="20"/>
          <w:lang w:val="en-GB"/>
        </w:rPr>
      </w:pPr>
      <w:r w:rsidRPr="00EE2299">
        <w:rPr>
          <w:color w:val="000000"/>
          <w:sz w:val="20"/>
          <w:szCs w:val="20"/>
          <w:lang w:val="en-GB"/>
        </w:rPr>
        <w:t xml:space="preserve">Av. </w:t>
      </w:r>
      <w:proofErr w:type="spellStart"/>
      <w:r w:rsidRPr="00EE2299">
        <w:rPr>
          <w:color w:val="000000"/>
          <w:sz w:val="20"/>
          <w:szCs w:val="20"/>
          <w:lang w:val="en-GB"/>
        </w:rPr>
        <w:t>Universitat</w:t>
      </w:r>
      <w:proofErr w:type="spellEnd"/>
      <w:r w:rsidRPr="00EE2299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EE2299">
        <w:rPr>
          <w:color w:val="000000"/>
          <w:sz w:val="20"/>
          <w:szCs w:val="20"/>
          <w:lang w:val="en-GB"/>
        </w:rPr>
        <w:t>Autònoma</w:t>
      </w:r>
      <w:proofErr w:type="spellEnd"/>
      <w:r w:rsidRPr="00EE2299">
        <w:rPr>
          <w:color w:val="000000"/>
          <w:sz w:val="20"/>
          <w:szCs w:val="20"/>
          <w:lang w:val="en-GB"/>
        </w:rPr>
        <w:t>, 29</w:t>
      </w:r>
    </w:p>
    <w:p w14:paraId="719EDDF6" w14:textId="77777777" w:rsidR="00082E86" w:rsidRPr="00EE2299" w:rsidRDefault="00082E86" w:rsidP="00683FE6">
      <w:pPr>
        <w:pStyle w:val="Tekstpodstawowy"/>
        <w:tabs>
          <w:tab w:val="left" w:pos="435"/>
          <w:tab w:val="left" w:pos="482"/>
        </w:tabs>
        <w:spacing w:line="276" w:lineRule="auto"/>
        <w:jc w:val="both"/>
        <w:rPr>
          <w:lang w:val="en-GB"/>
        </w:rPr>
      </w:pPr>
      <w:r w:rsidRPr="00EE2299">
        <w:rPr>
          <w:lang w:val="en-GB"/>
        </w:rPr>
        <w:t xml:space="preserve">08290 </w:t>
      </w:r>
      <w:proofErr w:type="spellStart"/>
      <w:r w:rsidRPr="00EE2299">
        <w:rPr>
          <w:lang w:val="en-GB"/>
        </w:rPr>
        <w:t>Cerdanyola</w:t>
      </w:r>
      <w:proofErr w:type="spellEnd"/>
      <w:r w:rsidRPr="00EE2299">
        <w:rPr>
          <w:lang w:val="en-GB"/>
        </w:rPr>
        <w:t xml:space="preserve"> del </w:t>
      </w:r>
      <w:proofErr w:type="spellStart"/>
      <w:r w:rsidRPr="00EE2299">
        <w:rPr>
          <w:lang w:val="en-GB"/>
        </w:rPr>
        <w:t>Vallès</w:t>
      </w:r>
      <w:proofErr w:type="spellEnd"/>
      <w:r w:rsidRPr="00EE2299">
        <w:rPr>
          <w:lang w:val="en-GB"/>
        </w:rPr>
        <w:t xml:space="preserve"> (Barcelona)</w:t>
      </w:r>
    </w:p>
    <w:p w14:paraId="76B60F44" w14:textId="77777777" w:rsidR="00082E86" w:rsidRPr="00EE2299" w:rsidRDefault="00082E86" w:rsidP="00683FE6">
      <w:pPr>
        <w:pStyle w:val="Tekstpodstawowy"/>
        <w:tabs>
          <w:tab w:val="left" w:pos="435"/>
          <w:tab w:val="left" w:pos="482"/>
        </w:tabs>
        <w:spacing w:line="276" w:lineRule="auto"/>
        <w:jc w:val="both"/>
        <w:rPr>
          <w:lang w:val="pl-PL"/>
        </w:rPr>
      </w:pPr>
      <w:r w:rsidRPr="00EE2299">
        <w:rPr>
          <w:lang w:val="pl-PL"/>
        </w:rPr>
        <w:t>Hiszpania</w:t>
      </w:r>
    </w:p>
    <w:p w14:paraId="417488EE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2EB5FB96" w14:textId="77777777" w:rsidR="00082E86" w:rsidRPr="00EE2299" w:rsidRDefault="00082E86" w:rsidP="00683FE6">
      <w:pPr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EE2299">
        <w:rPr>
          <w:sz w:val="20"/>
          <w:szCs w:val="20"/>
          <w:u w:val="single"/>
          <w:lang w:val="pl-PL"/>
        </w:rPr>
        <w:t>Wytwórca odpowiedzialny za zwolnienie serii</w:t>
      </w:r>
      <w:r w:rsidRPr="00EE2299">
        <w:rPr>
          <w:sz w:val="20"/>
          <w:szCs w:val="20"/>
          <w:lang w:val="pl-PL"/>
        </w:rPr>
        <w:t>:</w:t>
      </w:r>
    </w:p>
    <w:p w14:paraId="16817D44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en-GB"/>
        </w:rPr>
      </w:pPr>
      <w:r w:rsidRPr="00EE2299">
        <w:rPr>
          <w:sz w:val="20"/>
          <w:szCs w:val="20"/>
          <w:lang w:val="en-GB"/>
        </w:rPr>
        <w:t>aniMedica GmbH</w:t>
      </w:r>
    </w:p>
    <w:p w14:paraId="00AF5008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en-GB"/>
        </w:rPr>
      </w:pPr>
      <w:proofErr w:type="spellStart"/>
      <w:r w:rsidRPr="00EE2299">
        <w:rPr>
          <w:sz w:val="20"/>
          <w:szCs w:val="20"/>
          <w:lang w:val="en-GB"/>
        </w:rPr>
        <w:t>Im</w:t>
      </w:r>
      <w:proofErr w:type="spellEnd"/>
      <w:r w:rsidRPr="00EE2299">
        <w:rPr>
          <w:sz w:val="20"/>
          <w:szCs w:val="20"/>
          <w:lang w:val="en-GB"/>
        </w:rPr>
        <w:t xml:space="preserve"> </w:t>
      </w:r>
      <w:proofErr w:type="spellStart"/>
      <w:r w:rsidRPr="00EE2299">
        <w:rPr>
          <w:sz w:val="20"/>
          <w:szCs w:val="20"/>
          <w:lang w:val="en-GB"/>
        </w:rPr>
        <w:t>Südfeld</w:t>
      </w:r>
      <w:proofErr w:type="spellEnd"/>
      <w:r w:rsidRPr="00EE2299">
        <w:rPr>
          <w:sz w:val="20"/>
          <w:szCs w:val="20"/>
          <w:lang w:val="en-GB"/>
        </w:rPr>
        <w:t xml:space="preserve"> 9</w:t>
      </w:r>
    </w:p>
    <w:p w14:paraId="609DEA77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en-GB"/>
        </w:rPr>
      </w:pPr>
      <w:r w:rsidRPr="00EE2299">
        <w:rPr>
          <w:sz w:val="20"/>
          <w:szCs w:val="20"/>
          <w:lang w:val="en-GB"/>
        </w:rPr>
        <w:t xml:space="preserve">48308 </w:t>
      </w:r>
      <w:proofErr w:type="spellStart"/>
      <w:r w:rsidRPr="00EE2299">
        <w:rPr>
          <w:sz w:val="20"/>
          <w:szCs w:val="20"/>
          <w:lang w:val="en-GB"/>
        </w:rPr>
        <w:t>Senden-Bösensell</w:t>
      </w:r>
      <w:proofErr w:type="spellEnd"/>
    </w:p>
    <w:p w14:paraId="2538D3D7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en-GB"/>
        </w:rPr>
      </w:pPr>
      <w:proofErr w:type="spellStart"/>
      <w:r w:rsidRPr="00EE2299">
        <w:rPr>
          <w:sz w:val="20"/>
          <w:szCs w:val="20"/>
          <w:lang w:val="en-GB"/>
        </w:rPr>
        <w:t>Niemcy</w:t>
      </w:r>
      <w:proofErr w:type="spellEnd"/>
    </w:p>
    <w:p w14:paraId="1023A0AC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en-GB"/>
        </w:rPr>
      </w:pPr>
    </w:p>
    <w:p w14:paraId="41D7977D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en-GB"/>
        </w:rPr>
      </w:pPr>
      <w:r w:rsidRPr="00EE2299">
        <w:rPr>
          <w:sz w:val="20"/>
          <w:szCs w:val="20"/>
          <w:lang w:val="en-GB"/>
        </w:rPr>
        <w:t xml:space="preserve">Industrial </w:t>
      </w:r>
      <w:proofErr w:type="spellStart"/>
      <w:r w:rsidRPr="00EE2299">
        <w:rPr>
          <w:sz w:val="20"/>
          <w:szCs w:val="20"/>
          <w:lang w:val="en-GB"/>
        </w:rPr>
        <w:t>Veterinaria</w:t>
      </w:r>
      <w:proofErr w:type="spellEnd"/>
      <w:r w:rsidRPr="00EE2299">
        <w:rPr>
          <w:sz w:val="20"/>
          <w:szCs w:val="20"/>
          <w:lang w:val="en-GB"/>
        </w:rPr>
        <w:t>, S.A.</w:t>
      </w:r>
    </w:p>
    <w:p w14:paraId="06DB6850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proofErr w:type="spellStart"/>
      <w:r w:rsidRPr="00EE2299">
        <w:rPr>
          <w:sz w:val="20"/>
          <w:szCs w:val="20"/>
          <w:lang w:val="pl-PL"/>
        </w:rPr>
        <w:t>Esmeralda</w:t>
      </w:r>
      <w:proofErr w:type="spellEnd"/>
      <w:r w:rsidRPr="00EE2299">
        <w:rPr>
          <w:sz w:val="20"/>
          <w:szCs w:val="20"/>
          <w:lang w:val="pl-PL"/>
        </w:rPr>
        <w:t xml:space="preserve"> 19</w:t>
      </w:r>
    </w:p>
    <w:p w14:paraId="2A3D66A2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proofErr w:type="spellStart"/>
      <w:r w:rsidRPr="00EE2299">
        <w:rPr>
          <w:sz w:val="20"/>
          <w:szCs w:val="20"/>
          <w:lang w:val="pl-PL"/>
        </w:rPr>
        <w:t>Esplugues</w:t>
      </w:r>
      <w:proofErr w:type="spellEnd"/>
      <w:r w:rsidRPr="00EE2299">
        <w:rPr>
          <w:sz w:val="20"/>
          <w:szCs w:val="20"/>
          <w:lang w:val="pl-PL"/>
        </w:rPr>
        <w:t xml:space="preserve"> de </w:t>
      </w:r>
      <w:proofErr w:type="spellStart"/>
      <w:r w:rsidRPr="00EE2299">
        <w:rPr>
          <w:sz w:val="20"/>
          <w:szCs w:val="20"/>
          <w:lang w:val="pl-PL"/>
        </w:rPr>
        <w:t>Llobregat</w:t>
      </w:r>
      <w:proofErr w:type="spellEnd"/>
    </w:p>
    <w:p w14:paraId="109716B7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08950 Barcelona</w:t>
      </w:r>
    </w:p>
    <w:p w14:paraId="0F4F375C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Hiszpania</w:t>
      </w:r>
    </w:p>
    <w:p w14:paraId="6D0B85D5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6E1A2C2B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7D1D6E1F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2.</w:t>
      </w:r>
      <w:r w:rsidRPr="00EE2299">
        <w:rPr>
          <w:b/>
          <w:sz w:val="20"/>
          <w:szCs w:val="20"/>
          <w:lang w:val="pl-PL"/>
        </w:rPr>
        <w:tab/>
        <w:t>NAZWA PRODUKTU LECZNICZEGO WETERYNARYJNEGO</w:t>
      </w:r>
    </w:p>
    <w:p w14:paraId="6D1688E1" w14:textId="77777777" w:rsidR="004B6BB4" w:rsidRPr="00EE2299" w:rsidRDefault="004B6BB4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Qivitan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LC 75 mg maść dowymieniowa dla krów w okresie laktacji</w:t>
      </w:r>
    </w:p>
    <w:p w14:paraId="148E160E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proofErr w:type="spellStart"/>
      <w:r w:rsidRPr="00EE2299">
        <w:rPr>
          <w:sz w:val="20"/>
          <w:szCs w:val="20"/>
          <w:lang w:val="pl-PL"/>
        </w:rPr>
        <w:t>Cefquinom</w:t>
      </w:r>
      <w:proofErr w:type="spellEnd"/>
    </w:p>
    <w:p w14:paraId="29F0C35F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1483D467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2078326F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3.</w:t>
      </w:r>
      <w:r w:rsidRPr="00EE2299">
        <w:rPr>
          <w:b/>
          <w:sz w:val="20"/>
          <w:szCs w:val="20"/>
          <w:lang w:val="pl-PL"/>
        </w:rPr>
        <w:tab/>
        <w:t>ZAWARTOŚĆ SUBSTANCJI CZYNNEJ I INNYCH SUBSTANCJI</w:t>
      </w:r>
    </w:p>
    <w:p w14:paraId="3E339CF3" w14:textId="77777777" w:rsidR="004B6BB4" w:rsidRPr="00EE2299" w:rsidRDefault="004B6BB4" w:rsidP="00683FE6">
      <w:pPr>
        <w:widowControl/>
        <w:tabs>
          <w:tab w:val="left" w:pos="720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Każda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tubostrzykawka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(</w:t>
      </w:r>
      <w:smartTag w:uri="urn:schemas-microsoft-com:office:smarttags" w:element="metricconverter">
        <w:r w:rsidRPr="00EE2299">
          <w:rPr>
            <w:rFonts w:eastAsia="Times New Roman"/>
            <w:bCs/>
            <w:sz w:val="20"/>
            <w:szCs w:val="20"/>
            <w:lang w:val="pl-PL" w:eastAsia="pl-PL"/>
          </w:rPr>
          <w:t>8 g</w:t>
        </w:r>
      </w:smartTag>
      <w:r w:rsidRPr="00EE2299">
        <w:rPr>
          <w:rFonts w:eastAsia="Times New Roman"/>
          <w:bCs/>
          <w:sz w:val="20"/>
          <w:szCs w:val="20"/>
          <w:lang w:val="pl-PL" w:eastAsia="pl-PL"/>
        </w:rPr>
        <w:t>) zawiera:</w:t>
      </w:r>
    </w:p>
    <w:p w14:paraId="5D18DAD6" w14:textId="77777777" w:rsidR="00082E86" w:rsidRPr="00EE2299" w:rsidRDefault="00082E86" w:rsidP="00683FE6">
      <w:pPr>
        <w:spacing w:line="276" w:lineRule="auto"/>
        <w:jc w:val="both"/>
        <w:rPr>
          <w:b/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Substancja czynna:</w:t>
      </w:r>
    </w:p>
    <w:p w14:paraId="1D90254D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proofErr w:type="spellStart"/>
      <w:r w:rsidRPr="00EE2299">
        <w:rPr>
          <w:sz w:val="20"/>
          <w:szCs w:val="20"/>
          <w:lang w:val="pl-PL"/>
        </w:rPr>
        <w:t>Cefquinom</w:t>
      </w:r>
      <w:proofErr w:type="spellEnd"/>
      <w:r w:rsidRPr="00EE2299">
        <w:rPr>
          <w:sz w:val="20"/>
          <w:szCs w:val="20"/>
          <w:lang w:val="pl-PL"/>
        </w:rPr>
        <w:tab/>
      </w:r>
      <w:r w:rsidR="004B6BB4" w:rsidRPr="00EE2299">
        <w:rPr>
          <w:sz w:val="20"/>
          <w:szCs w:val="20"/>
          <w:lang w:val="pl-PL"/>
        </w:rPr>
        <w:t>7</w:t>
      </w:r>
      <w:r w:rsidRPr="00EE2299">
        <w:rPr>
          <w:sz w:val="20"/>
          <w:szCs w:val="20"/>
          <w:lang w:val="pl-PL"/>
        </w:rPr>
        <w:t>5 mg</w:t>
      </w:r>
    </w:p>
    <w:p w14:paraId="3DF3C17B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(</w:t>
      </w:r>
      <w:r w:rsidR="004B6BB4" w:rsidRPr="00EE2299">
        <w:rPr>
          <w:rFonts w:eastAsia="Times New Roman"/>
          <w:bCs/>
          <w:sz w:val="20"/>
          <w:szCs w:val="20"/>
          <w:lang w:val="pl-PL" w:eastAsia="pl-PL"/>
        </w:rPr>
        <w:t xml:space="preserve">w postaci </w:t>
      </w:r>
      <w:proofErr w:type="spellStart"/>
      <w:r w:rsidR="004B6BB4" w:rsidRPr="00EE2299">
        <w:rPr>
          <w:rFonts w:eastAsia="Times New Roman"/>
          <w:bCs/>
          <w:sz w:val="20"/>
          <w:szCs w:val="20"/>
          <w:lang w:val="pl-PL" w:eastAsia="pl-PL"/>
        </w:rPr>
        <w:t>cefquinomu</w:t>
      </w:r>
      <w:proofErr w:type="spellEnd"/>
      <w:r w:rsidR="004B6BB4" w:rsidRPr="00EE2299">
        <w:rPr>
          <w:rFonts w:eastAsia="Times New Roman"/>
          <w:bCs/>
          <w:sz w:val="20"/>
          <w:szCs w:val="20"/>
          <w:lang w:val="pl-PL" w:eastAsia="pl-PL"/>
        </w:rPr>
        <w:t xml:space="preserve"> siarczanu 88,92 mg)</w:t>
      </w:r>
    </w:p>
    <w:p w14:paraId="4B52629A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329D7C65" w14:textId="77777777" w:rsidR="004B6BB4" w:rsidRPr="00EE2299" w:rsidRDefault="004B6BB4" w:rsidP="00683FE6">
      <w:pPr>
        <w:tabs>
          <w:tab w:val="left" w:pos="708"/>
        </w:tabs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Biała do lekko żółtej, oleista, lepka, homogenna maść.</w:t>
      </w:r>
    </w:p>
    <w:p w14:paraId="5EBA0F59" w14:textId="77777777" w:rsidR="004B6BB4" w:rsidRPr="00EE2299" w:rsidRDefault="004B6BB4" w:rsidP="00683FE6">
      <w:pPr>
        <w:tabs>
          <w:tab w:val="left" w:pos="708"/>
        </w:tabs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22EBAF50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46B14BB5" w14:textId="77777777" w:rsidR="004B6BB4" w:rsidRPr="00EE2299" w:rsidRDefault="00082E86" w:rsidP="00683FE6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4.</w:t>
      </w:r>
      <w:r w:rsidRPr="00EE2299">
        <w:rPr>
          <w:b/>
          <w:sz w:val="20"/>
          <w:szCs w:val="20"/>
          <w:lang w:val="pl-PL"/>
        </w:rPr>
        <w:tab/>
        <w:t>WSKAZANIA LECZNICZE</w:t>
      </w:r>
    </w:p>
    <w:p w14:paraId="1AB228B6" w14:textId="77777777" w:rsidR="004B6BB4" w:rsidRPr="00EE2299" w:rsidRDefault="004B6BB4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Krowy w okresie laktacji: leczenie klinicznego zapalenia wymienia powodowanego przez następujące </w:t>
      </w:r>
    </w:p>
    <w:p w14:paraId="3FD08C4F" w14:textId="77777777" w:rsidR="004B6BB4" w:rsidRPr="000D5DF5" w:rsidRDefault="004B6BB4" w:rsidP="00683FE6">
      <w:pPr>
        <w:pStyle w:val="Akapitzlist"/>
        <w:spacing w:line="276" w:lineRule="auto"/>
        <w:ind w:left="0" w:firstLine="0"/>
        <w:jc w:val="both"/>
        <w:rPr>
          <w:sz w:val="20"/>
          <w:lang w:val="pl-PL" w:eastAsia="pl-PL"/>
        </w:rPr>
      </w:pPr>
      <w:r w:rsidRPr="000D5DF5">
        <w:rPr>
          <w:sz w:val="20"/>
          <w:lang w:val="pl-PL" w:eastAsia="pl-PL"/>
        </w:rPr>
        <w:t xml:space="preserve">mikroorganizmy wrażliwe na </w:t>
      </w:r>
      <w:proofErr w:type="spellStart"/>
      <w:r w:rsidRPr="000D5DF5">
        <w:rPr>
          <w:sz w:val="20"/>
          <w:lang w:val="pl-PL" w:eastAsia="pl-PL"/>
        </w:rPr>
        <w:t>cefquinom</w:t>
      </w:r>
      <w:proofErr w:type="spellEnd"/>
      <w:r w:rsidRPr="000D5DF5">
        <w:rPr>
          <w:sz w:val="20"/>
          <w:lang w:val="pl-PL" w:eastAsia="pl-PL"/>
        </w:rPr>
        <w:t xml:space="preserve">: </w:t>
      </w:r>
      <w:proofErr w:type="spellStart"/>
      <w:r w:rsidRPr="000D5DF5">
        <w:rPr>
          <w:i/>
          <w:sz w:val="20"/>
          <w:lang w:val="pl-PL" w:eastAsia="pl-PL"/>
        </w:rPr>
        <w:t>Streptococcus</w:t>
      </w:r>
      <w:proofErr w:type="spellEnd"/>
      <w:r w:rsidRPr="000D5DF5">
        <w:rPr>
          <w:i/>
          <w:sz w:val="20"/>
          <w:lang w:val="pl-PL" w:eastAsia="pl-PL"/>
        </w:rPr>
        <w:t xml:space="preserve"> </w:t>
      </w:r>
      <w:proofErr w:type="spellStart"/>
      <w:r w:rsidRPr="000D5DF5">
        <w:rPr>
          <w:i/>
          <w:sz w:val="20"/>
          <w:lang w:val="pl-PL" w:eastAsia="pl-PL"/>
        </w:rPr>
        <w:t>uberis</w:t>
      </w:r>
      <w:proofErr w:type="spellEnd"/>
      <w:r w:rsidRPr="000D5DF5">
        <w:rPr>
          <w:sz w:val="20"/>
          <w:lang w:val="pl-PL" w:eastAsia="pl-PL"/>
        </w:rPr>
        <w:t xml:space="preserve">, </w:t>
      </w:r>
      <w:proofErr w:type="spellStart"/>
      <w:r w:rsidRPr="000D5DF5">
        <w:rPr>
          <w:i/>
          <w:sz w:val="20"/>
          <w:lang w:val="pl-PL" w:eastAsia="pl-PL"/>
        </w:rPr>
        <w:t>Streptococcus</w:t>
      </w:r>
      <w:proofErr w:type="spellEnd"/>
      <w:r w:rsidRPr="000D5DF5">
        <w:rPr>
          <w:i/>
          <w:sz w:val="20"/>
          <w:lang w:val="pl-PL" w:eastAsia="pl-PL"/>
        </w:rPr>
        <w:t xml:space="preserve"> </w:t>
      </w:r>
      <w:proofErr w:type="spellStart"/>
      <w:r w:rsidRPr="000D5DF5">
        <w:rPr>
          <w:i/>
          <w:sz w:val="20"/>
          <w:lang w:val="pl-PL" w:eastAsia="pl-PL"/>
        </w:rPr>
        <w:t>dysgalactiae</w:t>
      </w:r>
      <w:proofErr w:type="spellEnd"/>
      <w:r w:rsidRPr="000D5DF5">
        <w:rPr>
          <w:sz w:val="20"/>
          <w:lang w:val="pl-PL" w:eastAsia="pl-PL"/>
        </w:rPr>
        <w:t>,</w:t>
      </w:r>
      <w:r w:rsidR="000D5DF5">
        <w:rPr>
          <w:sz w:val="20"/>
          <w:lang w:val="pl-PL" w:eastAsia="pl-PL"/>
        </w:rPr>
        <w:t xml:space="preserve"> </w:t>
      </w:r>
      <w:proofErr w:type="spellStart"/>
      <w:r w:rsidRPr="000D5DF5">
        <w:rPr>
          <w:i/>
          <w:sz w:val="20"/>
          <w:lang w:val="pl-PL" w:eastAsia="pl-PL"/>
        </w:rPr>
        <w:t>Staphylococcus</w:t>
      </w:r>
      <w:proofErr w:type="spellEnd"/>
      <w:r w:rsidRPr="000D5DF5">
        <w:rPr>
          <w:i/>
          <w:sz w:val="20"/>
          <w:lang w:val="pl-PL" w:eastAsia="pl-PL"/>
        </w:rPr>
        <w:t xml:space="preserve"> </w:t>
      </w:r>
      <w:proofErr w:type="spellStart"/>
      <w:r w:rsidRPr="000D5DF5">
        <w:rPr>
          <w:i/>
          <w:sz w:val="20"/>
          <w:lang w:val="pl-PL" w:eastAsia="pl-PL"/>
        </w:rPr>
        <w:t>aureus</w:t>
      </w:r>
      <w:proofErr w:type="spellEnd"/>
      <w:r w:rsidRPr="000D5DF5">
        <w:rPr>
          <w:sz w:val="20"/>
          <w:lang w:val="pl-PL" w:eastAsia="pl-PL"/>
        </w:rPr>
        <w:t xml:space="preserve"> oraz </w:t>
      </w:r>
      <w:r w:rsidRPr="000D5DF5">
        <w:rPr>
          <w:i/>
          <w:sz w:val="20"/>
          <w:lang w:val="pl-PL" w:eastAsia="pl-PL"/>
        </w:rPr>
        <w:t>Escherichia coli</w:t>
      </w:r>
      <w:r w:rsidRPr="000D5DF5">
        <w:rPr>
          <w:sz w:val="20"/>
          <w:lang w:val="pl-PL" w:eastAsia="pl-PL"/>
        </w:rPr>
        <w:t>.</w:t>
      </w:r>
    </w:p>
    <w:p w14:paraId="3EA38366" w14:textId="77777777" w:rsidR="00A9570E" w:rsidRPr="000D5DF5" w:rsidRDefault="00A9570E" w:rsidP="00683FE6">
      <w:pPr>
        <w:spacing w:line="276" w:lineRule="auto"/>
        <w:jc w:val="both"/>
        <w:rPr>
          <w:sz w:val="20"/>
          <w:szCs w:val="20"/>
          <w:lang w:val="pl-PL"/>
        </w:rPr>
      </w:pPr>
      <w:r w:rsidRPr="000D5DF5">
        <w:rPr>
          <w:sz w:val="20"/>
          <w:szCs w:val="20"/>
          <w:lang w:val="pl-PL"/>
        </w:rPr>
        <w:br w:type="page"/>
      </w:r>
    </w:p>
    <w:p w14:paraId="21F4AB96" w14:textId="77777777" w:rsidR="004B6BB4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lastRenderedPageBreak/>
        <w:t>5.</w:t>
      </w:r>
      <w:r w:rsidRPr="00EE2299">
        <w:rPr>
          <w:b/>
          <w:sz w:val="20"/>
          <w:szCs w:val="20"/>
          <w:lang w:val="pl-PL"/>
        </w:rPr>
        <w:tab/>
        <w:t>PRZECIWWSKAZANIA</w:t>
      </w:r>
    </w:p>
    <w:p w14:paraId="42675091" w14:textId="77777777" w:rsidR="006A6ECC" w:rsidRDefault="004B6BB4" w:rsidP="00683FE6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Nie stosować w przypadkach nadwrażliwości na antybiotyki z grupy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cefalosporyn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>, inne antybiotyki</w:t>
      </w:r>
      <w:r w:rsidR="00EE2299" w:rsidRPr="00EE2299">
        <w:rPr>
          <w:rFonts w:eastAsia="Times New Roman"/>
          <w:bCs/>
          <w:sz w:val="20"/>
          <w:szCs w:val="20"/>
          <w:lang w:val="pl-PL" w:eastAsia="pl-PL"/>
        </w:rPr>
        <w:t xml:space="preserve"> </w:t>
      </w:r>
    </w:p>
    <w:p w14:paraId="108A9190" w14:textId="77777777" w:rsidR="004B6BB4" w:rsidRPr="00EE2299" w:rsidRDefault="004B6BB4" w:rsidP="00683FE6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β-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laktamowe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lub na dowolną substancję pomocniczą.</w:t>
      </w:r>
    </w:p>
    <w:p w14:paraId="2EFEEE59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050A862E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7FCA4EE0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6.</w:t>
      </w:r>
      <w:r w:rsidRPr="00EE2299">
        <w:rPr>
          <w:b/>
          <w:sz w:val="20"/>
          <w:szCs w:val="20"/>
          <w:lang w:val="pl-PL"/>
        </w:rPr>
        <w:tab/>
        <w:t>DZIAŁANIA NIEPOŻĄDANE</w:t>
      </w:r>
    </w:p>
    <w:p w14:paraId="0F40E21C" w14:textId="77777777" w:rsidR="004B6BB4" w:rsidRPr="00EE2299" w:rsidRDefault="004B6BB4" w:rsidP="00683FE6">
      <w:pPr>
        <w:widowControl/>
        <w:tabs>
          <w:tab w:val="left" w:pos="0"/>
          <w:tab w:val="left" w:pos="180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W bardzo rzadkich przypadkach po podaniu produktu obserwowano reakcje anafilaktyczne u zwierząt.</w:t>
      </w:r>
    </w:p>
    <w:p w14:paraId="472F1407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742031CC" w14:textId="77777777" w:rsidR="004B6BB4" w:rsidRPr="00EE2299" w:rsidRDefault="004B6BB4" w:rsidP="00683FE6">
      <w:pPr>
        <w:widowControl/>
        <w:tabs>
          <w:tab w:val="left" w:pos="540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Częstotliwość występowania działań niepożądanych przedstawia się zgodnie z poniższą regułą:</w:t>
      </w:r>
    </w:p>
    <w:p w14:paraId="12235679" w14:textId="77777777" w:rsidR="004B6BB4" w:rsidRPr="00EE2299" w:rsidRDefault="004B6BB4" w:rsidP="00683FE6">
      <w:pPr>
        <w:widowControl/>
        <w:numPr>
          <w:ilvl w:val="0"/>
          <w:numId w:val="8"/>
        </w:numPr>
        <w:autoSpaceDE/>
        <w:autoSpaceDN/>
        <w:spacing w:line="276" w:lineRule="auto"/>
        <w:ind w:left="180" w:hanging="180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bardzo często (więcej niż 1 na 10 leczonych zwierząt wykazujących działanie(-a) niepożądane)</w:t>
      </w:r>
    </w:p>
    <w:p w14:paraId="70B92111" w14:textId="77777777" w:rsidR="004B6BB4" w:rsidRPr="00EE2299" w:rsidRDefault="004B6BB4" w:rsidP="00683FE6">
      <w:pPr>
        <w:widowControl/>
        <w:numPr>
          <w:ilvl w:val="0"/>
          <w:numId w:val="8"/>
        </w:numPr>
        <w:autoSpaceDE/>
        <w:autoSpaceDN/>
        <w:spacing w:line="276" w:lineRule="auto"/>
        <w:ind w:left="180" w:hanging="180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często (więcej niż 1, ale mniej niż 10 na 100 leczonych zwierząt)</w:t>
      </w:r>
    </w:p>
    <w:p w14:paraId="09368376" w14:textId="77777777" w:rsidR="004B6BB4" w:rsidRPr="00EE2299" w:rsidRDefault="004B6BB4" w:rsidP="00683FE6">
      <w:pPr>
        <w:widowControl/>
        <w:numPr>
          <w:ilvl w:val="0"/>
          <w:numId w:val="8"/>
        </w:numPr>
        <w:autoSpaceDE/>
        <w:autoSpaceDN/>
        <w:spacing w:line="276" w:lineRule="auto"/>
        <w:ind w:left="180" w:hanging="180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niezbyt często (więcej niż 1, ale mniej niż 10 na 1000 leczonych zwierząt)</w:t>
      </w:r>
    </w:p>
    <w:p w14:paraId="0B5E0A21" w14:textId="77777777" w:rsidR="004B6BB4" w:rsidRPr="00EE2299" w:rsidRDefault="004B6BB4" w:rsidP="00683FE6">
      <w:pPr>
        <w:widowControl/>
        <w:numPr>
          <w:ilvl w:val="0"/>
          <w:numId w:val="8"/>
        </w:numPr>
        <w:autoSpaceDE/>
        <w:autoSpaceDN/>
        <w:spacing w:line="276" w:lineRule="auto"/>
        <w:ind w:left="180" w:hanging="180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rzadko (więcej niż 1, ale mniej niż 10 na 10000 leczonych zwierząt)</w:t>
      </w:r>
    </w:p>
    <w:p w14:paraId="31B759AC" w14:textId="77777777" w:rsidR="004B6BB4" w:rsidRPr="00EE2299" w:rsidRDefault="004B6BB4" w:rsidP="00683FE6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bardzo rzadko (mniej niż 1 na 10000 leczonych zwierząt, włączając pojedyncze raporty).</w:t>
      </w:r>
    </w:p>
    <w:p w14:paraId="61F7F279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001E07BE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W razie zaobserwowania działań niepożądanych, również niewymienionych w ulotce informacyjnej,</w:t>
      </w:r>
    </w:p>
    <w:p w14:paraId="1B1BBA33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lub w przypadku podejrzenia braku działania produktu, poinformuj o tym lekarza weterynarii.</w:t>
      </w:r>
    </w:p>
    <w:p w14:paraId="11C2F685" w14:textId="77777777" w:rsidR="004B6BB4" w:rsidRPr="00C35016" w:rsidRDefault="004B6BB4" w:rsidP="00683FE6">
      <w:pPr>
        <w:pStyle w:val="Akapitzlist"/>
        <w:spacing w:line="276" w:lineRule="auto"/>
        <w:ind w:left="0" w:firstLine="0"/>
        <w:jc w:val="both"/>
        <w:rPr>
          <w:sz w:val="20"/>
          <w:lang w:val="pl-PL" w:eastAsia="pl-PL"/>
        </w:rPr>
      </w:pPr>
    </w:p>
    <w:p w14:paraId="7F7812D2" w14:textId="77777777" w:rsidR="004B6BB4" w:rsidRPr="00C35016" w:rsidRDefault="004B6BB4" w:rsidP="00683FE6">
      <w:pPr>
        <w:pStyle w:val="Akapitzlist"/>
        <w:spacing w:line="276" w:lineRule="auto"/>
        <w:ind w:left="0" w:firstLine="0"/>
        <w:jc w:val="both"/>
        <w:rPr>
          <w:sz w:val="20"/>
          <w:lang w:val="pl-PL" w:eastAsia="pl-PL"/>
        </w:rPr>
      </w:pPr>
      <w:r w:rsidRPr="00C35016">
        <w:rPr>
          <w:sz w:val="20"/>
          <w:lang w:val="pl-PL" w:eastAsia="pl-PL"/>
        </w:rPr>
        <w:t>Można również zgłosić działania niepożądane poprzez krajowy system raportowania</w:t>
      </w:r>
    </w:p>
    <w:p w14:paraId="3C76FF92" w14:textId="77777777" w:rsidR="004B6BB4" w:rsidRPr="00C35016" w:rsidRDefault="004B6BB4" w:rsidP="00683FE6">
      <w:pPr>
        <w:pStyle w:val="Akapitzlist"/>
        <w:spacing w:line="276" w:lineRule="auto"/>
        <w:ind w:left="0" w:firstLine="0"/>
        <w:jc w:val="both"/>
        <w:rPr>
          <w:sz w:val="20"/>
          <w:lang w:val="pl-PL" w:eastAsia="pl-PL"/>
        </w:rPr>
      </w:pPr>
      <w:r w:rsidRPr="00C35016">
        <w:rPr>
          <w:sz w:val="20"/>
          <w:lang w:val="pl-PL" w:eastAsia="pl-PL"/>
        </w:rPr>
        <w:t>(www.urpl.gov.pl).</w:t>
      </w:r>
    </w:p>
    <w:p w14:paraId="3C37527D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31646612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73AC8026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7.</w:t>
      </w:r>
      <w:r w:rsidRPr="00EE2299">
        <w:rPr>
          <w:b/>
          <w:sz w:val="20"/>
          <w:szCs w:val="20"/>
          <w:lang w:val="pl-PL"/>
        </w:rPr>
        <w:tab/>
        <w:t>DOCELOWE GATUNKI ZWIERZĄT</w:t>
      </w:r>
    </w:p>
    <w:p w14:paraId="3BBD3A2D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Bydło (krowy w okresie laktacji).</w:t>
      </w:r>
    </w:p>
    <w:p w14:paraId="656D9A4D" w14:textId="77777777" w:rsidR="00A9570E" w:rsidRPr="00EE2299" w:rsidRDefault="00A9570E" w:rsidP="00683FE6">
      <w:pPr>
        <w:spacing w:line="276" w:lineRule="auto"/>
        <w:jc w:val="both"/>
        <w:rPr>
          <w:b/>
          <w:sz w:val="20"/>
          <w:szCs w:val="20"/>
          <w:lang w:val="pl-PL"/>
        </w:rPr>
      </w:pPr>
    </w:p>
    <w:p w14:paraId="38C56087" w14:textId="77777777" w:rsidR="00A9570E" w:rsidRPr="00EE2299" w:rsidRDefault="00A9570E" w:rsidP="00683FE6">
      <w:pPr>
        <w:spacing w:line="276" w:lineRule="auto"/>
        <w:jc w:val="both"/>
        <w:rPr>
          <w:b/>
          <w:sz w:val="20"/>
          <w:szCs w:val="20"/>
          <w:lang w:val="pl-PL"/>
        </w:rPr>
      </w:pPr>
    </w:p>
    <w:p w14:paraId="0714EBBF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8.</w:t>
      </w:r>
      <w:r w:rsidRPr="00EE2299">
        <w:rPr>
          <w:b/>
          <w:sz w:val="20"/>
          <w:szCs w:val="20"/>
          <w:lang w:val="pl-PL"/>
        </w:rPr>
        <w:tab/>
        <w:t>DAWKOWANIE DLA KAŻDEGO GATUNKU, DROGA(-I) I SPOSÓB PODANIA</w:t>
      </w:r>
    </w:p>
    <w:p w14:paraId="48A4A38D" w14:textId="77777777" w:rsidR="004B6BB4" w:rsidRPr="00EE2299" w:rsidRDefault="004B6BB4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Podanie dowymieniowe.</w:t>
      </w:r>
    </w:p>
    <w:p w14:paraId="6F2335A8" w14:textId="77777777" w:rsidR="004B6BB4" w:rsidRPr="00EE2299" w:rsidRDefault="004B6BB4" w:rsidP="00683FE6">
      <w:pPr>
        <w:widowControl/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Zawartość jednej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tubostrzykawki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należy delikatnie wprowadzić do strzyku zakażonej ćwiartki co 12</w:t>
      </w:r>
      <w:r w:rsidR="0007360E">
        <w:rPr>
          <w:rFonts w:eastAsia="Times New Roman"/>
          <w:bCs/>
          <w:sz w:val="20"/>
          <w:szCs w:val="20"/>
          <w:lang w:val="pl-PL" w:eastAsia="pl-PL"/>
        </w:rPr>
        <w:t> 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godzin, po każdym z trzech kolejnych udojów.</w:t>
      </w:r>
    </w:p>
    <w:p w14:paraId="34CE5B47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iCs/>
          <w:sz w:val="20"/>
          <w:szCs w:val="20"/>
          <w:lang w:val="pl-PL" w:eastAsia="pl-PL"/>
        </w:rPr>
      </w:pPr>
    </w:p>
    <w:p w14:paraId="6B908656" w14:textId="77777777" w:rsidR="00082E86" w:rsidRPr="00EE2299" w:rsidRDefault="00082E86" w:rsidP="00683FE6">
      <w:pPr>
        <w:spacing w:line="276" w:lineRule="auto"/>
        <w:jc w:val="both"/>
        <w:rPr>
          <w:iCs/>
          <w:sz w:val="20"/>
          <w:szCs w:val="20"/>
          <w:lang w:val="pl-PL"/>
        </w:rPr>
      </w:pPr>
    </w:p>
    <w:p w14:paraId="227E7F64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9.</w:t>
      </w:r>
      <w:r w:rsidRPr="00EE2299">
        <w:rPr>
          <w:b/>
          <w:sz w:val="20"/>
          <w:szCs w:val="20"/>
          <w:lang w:val="pl-PL"/>
        </w:rPr>
        <w:tab/>
        <w:t>ZALECENIA DLA PRAWIDŁOWEGO PODANIA</w:t>
      </w:r>
    </w:p>
    <w:p w14:paraId="69E9D367" w14:textId="77777777" w:rsidR="004B6BB4" w:rsidRPr="00EE2299" w:rsidRDefault="004B6BB4" w:rsidP="00683FE6">
      <w:pPr>
        <w:widowControl/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Należy zdoić wydzielinę z chorych ćwiartek. Po dokładnym oczyszczeniu i dezynfekcji strzyku i ujścia kanału strzykowego za pomocą dołączonego ręcznika do czyszczenia zdjąć zatyczkę z dyszy, nie dotykając jej palcami i delikatnie wprowadzić zawartość jednej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tubostrzykawki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do każdej chorej ćwiartki wymienia. Rozprowadzić produkt, delikatnie masując strzyk i wymię chorego zwierzęcia.</w:t>
      </w:r>
    </w:p>
    <w:p w14:paraId="4A5FF979" w14:textId="77777777" w:rsidR="004B6BB4" w:rsidRPr="00EE2299" w:rsidRDefault="004B6BB4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5EF275BD" w14:textId="77777777" w:rsidR="004B6BB4" w:rsidRPr="00EE2299" w:rsidRDefault="004B6BB4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Tubot</w:t>
      </w:r>
      <w:r w:rsidR="006A16D0">
        <w:rPr>
          <w:rFonts w:eastAsia="Times New Roman"/>
          <w:bCs/>
          <w:sz w:val="20"/>
          <w:szCs w:val="20"/>
          <w:lang w:val="pl-PL" w:eastAsia="pl-PL"/>
        </w:rPr>
        <w:t>s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rzykawka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może być używana tylko jeden raz. Częściowo zużyte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tubostrzykawki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należy</w:t>
      </w:r>
    </w:p>
    <w:p w14:paraId="169BCB40" w14:textId="77777777" w:rsidR="004B6BB4" w:rsidRPr="00EE2299" w:rsidRDefault="004B6BB4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wyrzucić.</w:t>
      </w:r>
    </w:p>
    <w:p w14:paraId="71D105D4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7AD97CF7" w14:textId="77777777" w:rsidR="004B6BB4" w:rsidRPr="00EE2299" w:rsidRDefault="004B6BB4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049BFFC1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10.</w:t>
      </w:r>
      <w:r w:rsidRPr="00EE2299">
        <w:rPr>
          <w:b/>
          <w:sz w:val="20"/>
          <w:szCs w:val="20"/>
          <w:lang w:val="pl-PL"/>
        </w:rPr>
        <w:tab/>
        <w:t>OKRES KARENCJI</w:t>
      </w:r>
    </w:p>
    <w:p w14:paraId="6FAF3181" w14:textId="77777777" w:rsidR="004B6BB4" w:rsidRPr="00EE2299" w:rsidRDefault="004B6BB4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Tkanki jadalne: 4 dni</w:t>
      </w:r>
    </w:p>
    <w:p w14:paraId="2F0B0A04" w14:textId="77777777" w:rsidR="00082E86" w:rsidRPr="006A16D0" w:rsidRDefault="004B6BB4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Mleko: 5 dni (120 godzin).</w:t>
      </w:r>
    </w:p>
    <w:p w14:paraId="558C0183" w14:textId="77777777" w:rsidR="00A9570E" w:rsidRPr="00EE2299" w:rsidRDefault="00A9570E" w:rsidP="00683FE6">
      <w:pPr>
        <w:spacing w:line="276" w:lineRule="auto"/>
        <w:jc w:val="both"/>
        <w:rPr>
          <w:iCs/>
          <w:sz w:val="20"/>
          <w:szCs w:val="20"/>
          <w:lang w:val="pl-PL"/>
        </w:rPr>
      </w:pPr>
      <w:r w:rsidRPr="00EE2299">
        <w:rPr>
          <w:iCs/>
          <w:sz w:val="20"/>
          <w:szCs w:val="20"/>
          <w:lang w:val="pl-PL"/>
        </w:rPr>
        <w:br w:type="page"/>
      </w:r>
    </w:p>
    <w:p w14:paraId="7722D20F" w14:textId="77777777" w:rsidR="00082E86" w:rsidRDefault="00082E86" w:rsidP="00683FE6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lastRenderedPageBreak/>
        <w:t>11.</w:t>
      </w:r>
      <w:r w:rsidRPr="00EE2299">
        <w:rPr>
          <w:b/>
          <w:sz w:val="20"/>
          <w:szCs w:val="20"/>
          <w:lang w:val="pl-PL"/>
        </w:rPr>
        <w:tab/>
        <w:t>SPECJALNE ŚRODKI OSTROŻNOŚCI PODCZAS PRZECHOWYWANIA</w:t>
      </w:r>
    </w:p>
    <w:p w14:paraId="0DE170A1" w14:textId="77777777" w:rsidR="006A16D0" w:rsidRDefault="006A16D0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Przechowywać w miejscu niewidocznym i niedostępnym dla dzieci.</w:t>
      </w:r>
    </w:p>
    <w:p w14:paraId="1CAA889D" w14:textId="77777777" w:rsidR="006A16D0" w:rsidRDefault="006A16D0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Nie przechowywać w temperaturze powyżej 25 ˚C.</w:t>
      </w:r>
    </w:p>
    <w:p w14:paraId="5547A462" w14:textId="77777777" w:rsidR="006A16D0" w:rsidRDefault="006A16D0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Nie używać tego produktu leczniczego weterynaryjnego po upływie terminu ważności podanego na etykiecie.</w:t>
      </w:r>
    </w:p>
    <w:p w14:paraId="387A2A08" w14:textId="77777777" w:rsidR="006A16D0" w:rsidRPr="006A16D0" w:rsidRDefault="006A16D0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</w:p>
    <w:p w14:paraId="41AB33FF" w14:textId="77777777" w:rsidR="006A16D0" w:rsidRPr="006A16D0" w:rsidRDefault="006A16D0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</w:p>
    <w:p w14:paraId="5FF6953A" w14:textId="77777777" w:rsidR="006A16D0" w:rsidRPr="00EE2299" w:rsidRDefault="006A16D0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12. </w:t>
      </w:r>
      <w:r w:rsidR="001E5245">
        <w:rPr>
          <w:b/>
          <w:sz w:val="20"/>
          <w:szCs w:val="20"/>
          <w:lang w:val="pl-PL"/>
        </w:rPr>
        <w:t>SPECJALNE OSTRZEŻENIA</w:t>
      </w:r>
    </w:p>
    <w:p w14:paraId="11C7B8E0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u w:val="single"/>
          <w:lang w:val="pl-PL" w:eastAsia="pl-PL"/>
        </w:rPr>
        <w:t>Specjalne ostrzeżenia dla każdego z docelowych gatunków zwierząt:</w:t>
      </w:r>
    </w:p>
    <w:p w14:paraId="360C24F2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Brak.</w:t>
      </w:r>
    </w:p>
    <w:p w14:paraId="0AF21AE7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04FED23C" w14:textId="77777777" w:rsidR="00A9570E" w:rsidRPr="001E5245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u w:val="single"/>
          <w:lang w:val="pl-PL" w:eastAsia="pl-PL"/>
        </w:rPr>
        <w:t>Specjalne środki ostrożności dotyczące stosowania u zwierząt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:</w:t>
      </w:r>
    </w:p>
    <w:p w14:paraId="3ED3F1C2" w14:textId="77777777" w:rsidR="00A9570E" w:rsidRPr="00EE2299" w:rsidRDefault="00A9570E" w:rsidP="00683FE6">
      <w:pPr>
        <w:widowControl/>
        <w:tabs>
          <w:tab w:val="left" w:pos="900"/>
        </w:tabs>
        <w:autoSpaceDE/>
        <w:autoSpaceDN/>
        <w:spacing w:line="276" w:lineRule="auto"/>
        <w:jc w:val="both"/>
        <w:rPr>
          <w:rFonts w:eastAsia="Times New Roman"/>
          <w:bCs/>
          <w:color w:val="000000"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Produkt powinien być zarezerwowany do leczenia klinicznych przypadków, w których wystąpiła słaba</w:t>
      </w:r>
      <w:r w:rsidR="00683FE6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odpowiedź lub przypuszcza się, że wystąpi słaba odpowiedź na leki przeciwbakteryjne innych klas lub antybiotyki ß-</w:t>
      </w:r>
      <w:proofErr w:type="spellStart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laktamowe</w:t>
      </w:r>
      <w:proofErr w:type="spellEnd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o wąskim spektrum działania.</w:t>
      </w:r>
    </w:p>
    <w:p w14:paraId="63EE6E86" w14:textId="77777777" w:rsidR="00A9570E" w:rsidRPr="00EE2299" w:rsidRDefault="00A9570E" w:rsidP="00683FE6">
      <w:pPr>
        <w:widowControl/>
        <w:tabs>
          <w:tab w:val="left" w:pos="900"/>
        </w:tabs>
        <w:autoSpaceDE/>
        <w:autoSpaceDN/>
        <w:spacing w:line="276" w:lineRule="auto"/>
        <w:jc w:val="both"/>
        <w:rPr>
          <w:rFonts w:eastAsia="Times New Roman"/>
          <w:bCs/>
          <w:color w:val="000000"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Stosowanie produktu powinno być oparte na badaniu wrażliwości bakterii izolowanych od leczonego</w:t>
      </w:r>
      <w:r w:rsidR="00683FE6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zwierzęcia. Jeśli okaże się to niemożliwe, leczenie należy oprzeć na lokalnych (regionalnych, na</w:t>
      </w:r>
      <w:r w:rsidR="00683FE6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poziomie gospodarstwa) danych epidemiologicznych dotyczących wrażliwości bakterii docelowych.</w:t>
      </w:r>
    </w:p>
    <w:p w14:paraId="4D12FCB8" w14:textId="77777777" w:rsidR="00A9570E" w:rsidRPr="00EE2299" w:rsidRDefault="00A9570E" w:rsidP="00683FE6">
      <w:pPr>
        <w:widowControl/>
        <w:tabs>
          <w:tab w:val="left" w:pos="900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color w:val="000000"/>
          <w:sz w:val="20"/>
          <w:szCs w:val="20"/>
          <w:lang w:val="pl-PL" w:eastAsia="pl-PL"/>
        </w:rPr>
      </w:pPr>
    </w:p>
    <w:p w14:paraId="6C760A37" w14:textId="77777777" w:rsidR="00A9570E" w:rsidRPr="00EE2299" w:rsidRDefault="00A9570E" w:rsidP="00683FE6">
      <w:pPr>
        <w:widowControl/>
        <w:tabs>
          <w:tab w:val="left" w:pos="900"/>
        </w:tabs>
        <w:autoSpaceDE/>
        <w:autoSpaceDN/>
        <w:spacing w:line="276" w:lineRule="auto"/>
        <w:jc w:val="both"/>
        <w:rPr>
          <w:rFonts w:eastAsia="Times New Roman"/>
          <w:bCs/>
          <w:color w:val="000000"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Podczas stosowania produktu należy uwzględnić oficjalne, krajowe i regionalne zasady stosowania</w:t>
      </w:r>
      <w:r w:rsidR="00683FE6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leków przeciwdrobnoustrojowych.</w:t>
      </w:r>
    </w:p>
    <w:p w14:paraId="0772C4FD" w14:textId="77777777" w:rsidR="00A9570E" w:rsidRPr="00EE2299" w:rsidRDefault="00A9570E" w:rsidP="00683FE6">
      <w:pPr>
        <w:widowControl/>
        <w:tabs>
          <w:tab w:val="left" w:pos="900"/>
        </w:tabs>
        <w:autoSpaceDE/>
        <w:autoSpaceDN/>
        <w:spacing w:line="276" w:lineRule="auto"/>
        <w:jc w:val="both"/>
        <w:rPr>
          <w:rFonts w:eastAsia="Times New Roman"/>
          <w:bCs/>
          <w:color w:val="000000"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Stosowanie produktu niezgodnie z zaleceniami podanymi w ulotce informacyjnej może prowadzić do</w:t>
      </w:r>
      <w:r w:rsidR="00683FE6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zwiększenia występowania bakterii opornych na </w:t>
      </w:r>
      <w:proofErr w:type="spellStart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cefquinom</w:t>
      </w:r>
      <w:proofErr w:type="spellEnd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i zmniejszyć skuteczność leczenia innymi</w:t>
      </w:r>
      <w:r w:rsidR="00683FE6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cefalosporynami</w:t>
      </w:r>
      <w:proofErr w:type="spellEnd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z powodu potencjalnej oporności krzyżowej.</w:t>
      </w:r>
    </w:p>
    <w:p w14:paraId="58FBCBB1" w14:textId="77777777" w:rsidR="00A9570E" w:rsidRPr="00EE2299" w:rsidRDefault="00A9570E" w:rsidP="00683FE6">
      <w:pPr>
        <w:widowControl/>
        <w:tabs>
          <w:tab w:val="left" w:pos="-283"/>
          <w:tab w:val="left" w:pos="0"/>
          <w:tab w:val="left" w:pos="142"/>
          <w:tab w:val="left" w:pos="1418"/>
          <w:tab w:val="left" w:pos="8640"/>
        </w:tabs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Należy unikać podawania cielętom mleka zawierającego pozostałości </w:t>
      </w:r>
      <w:proofErr w:type="spellStart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cefquinomu</w:t>
      </w:r>
      <w:proofErr w:type="spellEnd"/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 (tzn. udojoneg</w:t>
      </w:r>
      <w:r w:rsidR="00683FE6">
        <w:rPr>
          <w:rFonts w:eastAsia="Times New Roman"/>
          <w:bCs/>
          <w:color w:val="000000"/>
          <w:sz w:val="20"/>
          <w:szCs w:val="20"/>
          <w:lang w:val="pl-PL" w:eastAsia="pl-PL"/>
        </w:rPr>
        <w:t xml:space="preserve">o </w:t>
      </w:r>
      <w:r w:rsidRPr="00EE2299">
        <w:rPr>
          <w:rFonts w:eastAsia="Times New Roman"/>
          <w:bCs/>
          <w:color w:val="000000"/>
          <w:sz w:val="20"/>
          <w:szCs w:val="20"/>
          <w:lang w:val="pl-PL" w:eastAsia="pl-PL"/>
        </w:rPr>
        <w:t>podczas leczenia) ze względu na selekcję bakterii opornych na antybiotyki.</w:t>
      </w:r>
    </w:p>
    <w:p w14:paraId="4EC21E77" w14:textId="77777777" w:rsidR="00A9570E" w:rsidRPr="00EE2299" w:rsidRDefault="00A9570E" w:rsidP="00683FE6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Times New Roman"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Nie używać ręcznika do czyszczenia, jeśli na strzyku obecne są zmiany.</w:t>
      </w:r>
    </w:p>
    <w:p w14:paraId="08179AEB" w14:textId="77777777" w:rsidR="00A9570E" w:rsidRPr="00EE2299" w:rsidRDefault="00A9570E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0C9EDB20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u w:val="single"/>
          <w:lang w:val="pl-PL" w:eastAsia="pl-PL"/>
        </w:rPr>
        <w:t>Specjalne środki ostrożności dla osób podających produkt leczniczy weterynaryjny zwierzętom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:</w:t>
      </w:r>
    </w:p>
    <w:p w14:paraId="4549257A" w14:textId="77777777" w:rsidR="00A9570E" w:rsidRPr="00EE2299" w:rsidRDefault="00A9570E" w:rsidP="00683FE6">
      <w:pPr>
        <w:widowControl/>
        <w:tabs>
          <w:tab w:val="left" w:pos="142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Podczas podawania produktu należy używać rękawic ochronnych, aby uniknąć kontaktu ze skórą.</w:t>
      </w:r>
    </w:p>
    <w:p w14:paraId="222FA4C5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18D0DF2D" w14:textId="77777777" w:rsidR="00A9570E" w:rsidRPr="00EE2299" w:rsidRDefault="00A9570E" w:rsidP="00683FE6">
      <w:pPr>
        <w:widowControl/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Penicyliny i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cefalosporyny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mogą powodować reakcje nadwrażliwości (alergie) po</w:t>
      </w:r>
      <w:r w:rsidR="00683FE6">
        <w:rPr>
          <w:rFonts w:eastAsia="Times New Roman"/>
          <w:bCs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wstrzyknięciu, wdychaniu, połknięciu lub kontakcie ze skórą. Nadwrażliwość na penicyliny może prowadzić do krzyżowych reakcji na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cefalosporyny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i odwrotnie. Sporadycznie reakcje alergiczne na te substancje mogą być poważne.</w:t>
      </w:r>
    </w:p>
    <w:p w14:paraId="200E9160" w14:textId="77777777" w:rsidR="00A9570E" w:rsidRPr="00EE2299" w:rsidRDefault="00A9570E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69EBC30C" w14:textId="77777777" w:rsidR="00A9570E" w:rsidRPr="00EE2299" w:rsidRDefault="00A9570E" w:rsidP="00683FE6">
      <w:pPr>
        <w:widowControl/>
        <w:tabs>
          <w:tab w:val="left" w:pos="1843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1. Osoby o znanej nadwrażliwości oraz osoby, którym nie zalecano pracy z tego typu produktami,</w:t>
      </w:r>
    </w:p>
    <w:p w14:paraId="14A6A5E3" w14:textId="77777777" w:rsidR="00A9570E" w:rsidRPr="00EE2299" w:rsidRDefault="00A9570E" w:rsidP="00683FE6">
      <w:pPr>
        <w:widowControl/>
        <w:tabs>
          <w:tab w:val="left" w:pos="1843"/>
        </w:tabs>
        <w:autoSpaceDE/>
        <w:autoSpaceDN/>
        <w:spacing w:line="276" w:lineRule="auto"/>
        <w:ind w:left="567" w:hanging="283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powinny unikać kontaktu z tym produktem leczniczym weterynaryjnym.</w:t>
      </w:r>
    </w:p>
    <w:p w14:paraId="5836B8F9" w14:textId="77777777" w:rsidR="00A9570E" w:rsidRPr="00EE2299" w:rsidRDefault="00A9570E" w:rsidP="00683FE6">
      <w:pPr>
        <w:widowControl/>
        <w:tabs>
          <w:tab w:val="left" w:pos="1843"/>
        </w:tabs>
        <w:autoSpaceDE/>
        <w:autoSpaceDN/>
        <w:spacing w:line="276" w:lineRule="auto"/>
        <w:ind w:left="284" w:hanging="284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2. Należy stosować produkt z zachowaniem wszelkiej ostrożności, stosując się do wszystkich</w:t>
      </w:r>
      <w:r w:rsidR="00683FE6">
        <w:rPr>
          <w:rFonts w:eastAsia="Times New Roman"/>
          <w:bCs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zalecanych środków ostrożności, aby uniknąć ekspozycji.</w:t>
      </w:r>
    </w:p>
    <w:p w14:paraId="46631B8C" w14:textId="77777777" w:rsidR="00A9570E" w:rsidRPr="00EE2299" w:rsidRDefault="00A9570E" w:rsidP="00683FE6">
      <w:pPr>
        <w:widowControl/>
        <w:tabs>
          <w:tab w:val="left" w:pos="1843"/>
        </w:tabs>
        <w:autoSpaceDE/>
        <w:autoSpaceDN/>
        <w:spacing w:line="276" w:lineRule="auto"/>
        <w:ind w:left="567" w:hanging="567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3. W przypadku pojawienia się, po narażeniu na działanie produktu, objawów takich jak wysypka</w:t>
      </w:r>
    </w:p>
    <w:p w14:paraId="6324A3B2" w14:textId="77777777" w:rsidR="00A9570E" w:rsidRPr="00EE2299" w:rsidRDefault="00A9570E" w:rsidP="00683FE6">
      <w:pPr>
        <w:widowControl/>
        <w:tabs>
          <w:tab w:val="left" w:pos="1843"/>
        </w:tabs>
        <w:autoSpaceDE/>
        <w:autoSpaceDN/>
        <w:spacing w:line="276" w:lineRule="auto"/>
        <w:ind w:left="284" w:hanging="142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skórna, należy zwrócić się o pomoc lekarską oraz przedstawić lekarzowi to ostrzeżenie. Obrzęk</w:t>
      </w:r>
    </w:p>
    <w:p w14:paraId="0FA8DBB4" w14:textId="77777777" w:rsidR="00A9570E" w:rsidRPr="00EE2299" w:rsidRDefault="00683FE6" w:rsidP="00683FE6">
      <w:pPr>
        <w:widowControl/>
        <w:tabs>
          <w:tab w:val="left" w:pos="1843"/>
        </w:tabs>
        <w:autoSpaceDE/>
        <w:autoSpaceDN/>
        <w:spacing w:line="276" w:lineRule="auto"/>
        <w:ind w:left="284" w:hanging="142"/>
        <w:rPr>
          <w:rFonts w:eastAsia="Times New Roman"/>
          <w:bCs/>
          <w:sz w:val="20"/>
          <w:szCs w:val="20"/>
          <w:lang w:val="pl-PL" w:eastAsia="pl-PL"/>
        </w:rPr>
      </w:pPr>
      <w:r>
        <w:rPr>
          <w:rFonts w:eastAsia="Times New Roman"/>
          <w:bCs/>
          <w:sz w:val="20"/>
          <w:szCs w:val="20"/>
          <w:lang w:val="pl-PL" w:eastAsia="pl-PL"/>
        </w:rPr>
        <w:t xml:space="preserve"> </w:t>
      </w:r>
      <w:r w:rsidR="00A9570E" w:rsidRPr="00EE2299">
        <w:rPr>
          <w:rFonts w:eastAsia="Times New Roman"/>
          <w:bCs/>
          <w:sz w:val="20"/>
          <w:szCs w:val="20"/>
          <w:lang w:val="pl-PL" w:eastAsia="pl-PL"/>
        </w:rPr>
        <w:t>twarzy, ust lub oczu czy też trudności w oddychaniu są poważniejszymi objawami i wymagają</w:t>
      </w:r>
    </w:p>
    <w:p w14:paraId="5C013B6A" w14:textId="77777777" w:rsidR="00A9570E" w:rsidRPr="00EE2299" w:rsidRDefault="00683FE6" w:rsidP="00683FE6">
      <w:pPr>
        <w:widowControl/>
        <w:tabs>
          <w:tab w:val="left" w:pos="1843"/>
        </w:tabs>
        <w:autoSpaceDE/>
        <w:autoSpaceDN/>
        <w:spacing w:line="276" w:lineRule="auto"/>
        <w:ind w:firstLine="142"/>
        <w:rPr>
          <w:rFonts w:eastAsia="Times New Roman"/>
          <w:bCs/>
          <w:sz w:val="20"/>
          <w:szCs w:val="20"/>
          <w:lang w:val="pl-PL" w:eastAsia="pl-PL"/>
        </w:rPr>
      </w:pPr>
      <w:r>
        <w:rPr>
          <w:rFonts w:eastAsia="Times New Roman"/>
          <w:bCs/>
          <w:sz w:val="20"/>
          <w:szCs w:val="20"/>
          <w:lang w:val="pl-PL" w:eastAsia="pl-PL"/>
        </w:rPr>
        <w:t xml:space="preserve"> </w:t>
      </w:r>
      <w:r w:rsidR="00A9570E" w:rsidRPr="00EE2299">
        <w:rPr>
          <w:rFonts w:eastAsia="Times New Roman"/>
          <w:bCs/>
          <w:sz w:val="20"/>
          <w:szCs w:val="20"/>
          <w:lang w:val="pl-PL" w:eastAsia="pl-PL"/>
        </w:rPr>
        <w:t>natychmiastowej pomocy lekarskiej.</w:t>
      </w:r>
    </w:p>
    <w:p w14:paraId="36514619" w14:textId="77777777" w:rsidR="00A9570E" w:rsidRPr="00EE2299" w:rsidRDefault="00A9570E" w:rsidP="00683FE6">
      <w:pPr>
        <w:widowControl/>
        <w:tabs>
          <w:tab w:val="left" w:pos="1843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66FAF8D5" w14:textId="77777777" w:rsidR="00A9570E" w:rsidRPr="00EE2299" w:rsidRDefault="00C16D60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>
        <w:rPr>
          <w:rFonts w:eastAsia="Times New Roman"/>
          <w:bCs/>
          <w:sz w:val="20"/>
          <w:szCs w:val="20"/>
          <w:lang w:val="pl-PL" w:eastAsia="pl-PL"/>
        </w:rPr>
        <w:t>Chusteczki</w:t>
      </w:r>
      <w:r w:rsidR="00A9570E" w:rsidRPr="00EE2299">
        <w:rPr>
          <w:rFonts w:eastAsia="Times New Roman"/>
          <w:bCs/>
          <w:sz w:val="20"/>
          <w:szCs w:val="20"/>
          <w:lang w:val="pl-PL" w:eastAsia="pl-PL"/>
        </w:rPr>
        <w:t xml:space="preserve"> do czyszczenia, dołączone do tego produktu, zawierają alkohol izopropylowy i chlorek</w:t>
      </w:r>
    </w:p>
    <w:p w14:paraId="4528F5B8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benzalkoniowy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>, które mogą u niektórych osób powodować podrażnienie skóry. Podczas stosowania</w:t>
      </w:r>
    </w:p>
    <w:p w14:paraId="4F6774BA" w14:textId="77777777" w:rsidR="00A9570E" w:rsidRPr="00EE2299" w:rsidRDefault="00597B73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>
        <w:rPr>
          <w:rFonts w:eastAsia="Times New Roman"/>
          <w:bCs/>
          <w:sz w:val="20"/>
          <w:szCs w:val="20"/>
          <w:lang w:val="pl-PL" w:eastAsia="pl-PL"/>
        </w:rPr>
        <w:t>chusteczek</w:t>
      </w:r>
      <w:r w:rsidR="00A9570E" w:rsidRPr="00EE2299">
        <w:rPr>
          <w:rFonts w:eastAsia="Times New Roman"/>
          <w:bCs/>
          <w:sz w:val="20"/>
          <w:szCs w:val="20"/>
          <w:lang w:val="pl-PL" w:eastAsia="pl-PL"/>
        </w:rPr>
        <w:t xml:space="preserve"> zalecane jest używanie rękawic ochronnych.</w:t>
      </w:r>
      <w:r w:rsidR="00A9570E" w:rsidRPr="00EE2299">
        <w:rPr>
          <w:rFonts w:eastAsia="Times New Roman"/>
          <w:bCs/>
          <w:sz w:val="20"/>
          <w:szCs w:val="20"/>
          <w:lang w:val="pl-PL" w:eastAsia="pl-PL"/>
        </w:rPr>
        <w:br w:type="page"/>
      </w:r>
    </w:p>
    <w:p w14:paraId="4EF5D817" w14:textId="77777777" w:rsidR="00A9570E" w:rsidRPr="00EE2299" w:rsidRDefault="00A9570E" w:rsidP="00683FE6">
      <w:pPr>
        <w:widowControl/>
        <w:tabs>
          <w:tab w:val="left" w:pos="-1440"/>
          <w:tab w:val="left" w:pos="-720"/>
          <w:tab w:val="left" w:pos="567"/>
          <w:tab w:val="left" w:pos="883"/>
          <w:tab w:val="left" w:pos="993"/>
          <w:tab w:val="left" w:pos="7200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u w:val="single"/>
          <w:lang w:val="pl-PL" w:eastAsia="pl-PL"/>
        </w:rPr>
        <w:lastRenderedPageBreak/>
        <w:t>Ciąża i laktacja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:</w:t>
      </w:r>
    </w:p>
    <w:p w14:paraId="486FC000" w14:textId="77777777" w:rsidR="00A9570E" w:rsidRPr="00EE2299" w:rsidRDefault="00A9570E" w:rsidP="00CE3A43">
      <w:pPr>
        <w:widowControl/>
        <w:tabs>
          <w:tab w:val="left" w:pos="-1440"/>
          <w:tab w:val="left" w:pos="-720"/>
          <w:tab w:val="left" w:pos="0"/>
          <w:tab w:val="left" w:pos="883"/>
          <w:tab w:val="left" w:pos="993"/>
          <w:tab w:val="left" w:pos="7200"/>
        </w:tabs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Produkt jest przeznaczony do stosowania podczas laktacji. Brak jest dostępnych informacji</w:t>
      </w:r>
      <w:r w:rsidR="00CE3A43">
        <w:rPr>
          <w:rFonts w:eastAsia="Times New Roman"/>
          <w:bCs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wskazujących na szkodliwe działanie na rozrodczość (w tym działanie teratogenne) u bydła.</w:t>
      </w:r>
    </w:p>
    <w:p w14:paraId="02258B15" w14:textId="77777777" w:rsidR="00A9570E" w:rsidRPr="00EE2299" w:rsidRDefault="00A9570E" w:rsidP="00683FE6">
      <w:pPr>
        <w:widowControl/>
        <w:tabs>
          <w:tab w:val="left" w:pos="-1440"/>
          <w:tab w:val="left" w:pos="-720"/>
          <w:tab w:val="left" w:pos="567"/>
          <w:tab w:val="left" w:pos="883"/>
          <w:tab w:val="left" w:pos="993"/>
          <w:tab w:val="left" w:pos="7200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W badaniach na zwierzętach laboratoryjnych dotyczących szkodliwego działania na rozrodczość nie</w:t>
      </w:r>
    </w:p>
    <w:p w14:paraId="75555840" w14:textId="77777777" w:rsidR="00A9570E" w:rsidRPr="00EE2299" w:rsidRDefault="00A9570E" w:rsidP="00CE3A43">
      <w:pPr>
        <w:widowControl/>
        <w:tabs>
          <w:tab w:val="left" w:pos="-1440"/>
          <w:tab w:val="left" w:pos="-720"/>
          <w:tab w:val="left" w:pos="0"/>
          <w:tab w:val="left" w:pos="883"/>
          <w:tab w:val="left" w:pos="993"/>
          <w:tab w:val="left" w:pos="7200"/>
        </w:tabs>
        <w:autoSpaceDE/>
        <w:autoSpaceDN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stwierdzono żadnego wpływu </w:t>
      </w:r>
      <w:proofErr w:type="spellStart"/>
      <w:r w:rsidRPr="00EE2299">
        <w:rPr>
          <w:rFonts w:eastAsia="Times New Roman"/>
          <w:bCs/>
          <w:sz w:val="20"/>
          <w:szCs w:val="20"/>
          <w:lang w:val="pl-PL" w:eastAsia="pl-PL"/>
        </w:rPr>
        <w:t>cefquinomu</w:t>
      </w:r>
      <w:proofErr w:type="spellEnd"/>
      <w:r w:rsidRPr="00EE2299">
        <w:rPr>
          <w:rFonts w:eastAsia="Times New Roman"/>
          <w:bCs/>
          <w:sz w:val="20"/>
          <w:szCs w:val="20"/>
          <w:lang w:val="pl-PL" w:eastAsia="pl-PL"/>
        </w:rPr>
        <w:t xml:space="preserve"> na rozrodczość ani jego potencjalnego działania</w:t>
      </w:r>
      <w:r w:rsidR="00CE3A43">
        <w:rPr>
          <w:rFonts w:eastAsia="Times New Roman"/>
          <w:bCs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teratogennego.</w:t>
      </w:r>
    </w:p>
    <w:p w14:paraId="66279539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179493EF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u w:val="single"/>
          <w:lang w:val="pl-PL" w:eastAsia="pl-PL"/>
        </w:rPr>
        <w:t>Interakcje z innymi produktami leczniczymi i inne rodzaje interakcji:</w:t>
      </w:r>
    </w:p>
    <w:p w14:paraId="39FC04B4" w14:textId="77777777" w:rsidR="00A9570E" w:rsidRPr="00EE2299" w:rsidRDefault="00A9570E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Nieznane.</w:t>
      </w:r>
    </w:p>
    <w:p w14:paraId="144D2ECE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70095E43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u w:val="single"/>
          <w:lang w:val="pl-PL" w:eastAsia="pl-PL"/>
        </w:rPr>
        <w:t>Przedawkowanie (objawy, sposób postępowania przy udzielaniu natychmiastowej pomocy, odtrutki)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:</w:t>
      </w:r>
    </w:p>
    <w:p w14:paraId="327230D8" w14:textId="77777777" w:rsidR="00A9570E" w:rsidRPr="00EE2299" w:rsidRDefault="00A9570E" w:rsidP="00683FE6">
      <w:pPr>
        <w:widowControl/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Nie jest spodziewane wystąpienie objawów i nie są wymagane żadne specjalne procedury.</w:t>
      </w:r>
    </w:p>
    <w:p w14:paraId="61C895B9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6724D071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u w:val="single"/>
          <w:lang w:val="pl-PL" w:eastAsia="pl-PL"/>
        </w:rPr>
        <w:t>Główne niezgodności farmaceutyczne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:</w:t>
      </w:r>
    </w:p>
    <w:p w14:paraId="0A5D7105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Ponieważ nie wykonywano badań dotyczących zgodności, tego produktu leczniczego weterynaryjnego</w:t>
      </w:r>
    </w:p>
    <w:p w14:paraId="3DC58ADC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nie wolno mieszać z innymi produktami leczniczymi weterynaryjnymi.</w:t>
      </w:r>
    </w:p>
    <w:p w14:paraId="5E6CDCAE" w14:textId="77777777" w:rsidR="00A9570E" w:rsidRPr="00EE2299" w:rsidRDefault="00A9570E" w:rsidP="00683FE6">
      <w:pPr>
        <w:widowControl/>
        <w:tabs>
          <w:tab w:val="left" w:pos="708"/>
        </w:tabs>
        <w:autoSpaceDE/>
        <w:autoSpaceDN/>
        <w:spacing w:line="276" w:lineRule="auto"/>
        <w:ind w:left="567" w:hanging="567"/>
        <w:jc w:val="both"/>
        <w:rPr>
          <w:rFonts w:eastAsia="Times New Roman"/>
          <w:bCs/>
          <w:sz w:val="20"/>
          <w:szCs w:val="20"/>
          <w:lang w:val="pl-PL" w:eastAsia="pl-PL"/>
        </w:rPr>
      </w:pPr>
    </w:p>
    <w:p w14:paraId="115AF959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6A1C81A7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13.</w:t>
      </w:r>
      <w:r w:rsidRPr="00EE2299">
        <w:rPr>
          <w:b/>
          <w:sz w:val="20"/>
          <w:szCs w:val="20"/>
          <w:lang w:val="pl-PL"/>
        </w:rPr>
        <w:tab/>
        <w:t>SPECJALNE ŚRODKI OSTROŻNOŚCI DOTYCZĄCE USUWANIA NIEZUŻYTEGO PRODUKTU LECZNICZEGO WETERYNARYJNEGO LUB POCHODZĄCYCH Z NIEGO ODPADÓW, JEŚLI MA TO ZASTOSOWANIE</w:t>
      </w:r>
    </w:p>
    <w:p w14:paraId="62A6D7F4" w14:textId="77777777" w:rsidR="004B6BB4" w:rsidRPr="00EE2299" w:rsidRDefault="004B6BB4" w:rsidP="00CE3A43">
      <w:pPr>
        <w:widowControl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val="pl-PL" w:eastAsia="pl-PL"/>
        </w:rPr>
      </w:pPr>
      <w:r w:rsidRPr="00EE2299">
        <w:rPr>
          <w:rFonts w:eastAsia="Times New Roman"/>
          <w:bCs/>
          <w:sz w:val="20"/>
          <w:szCs w:val="20"/>
          <w:lang w:val="pl-PL" w:eastAsia="pl-PL"/>
        </w:rPr>
        <w:t>Leków nie należy usuwać do kanalizacji ani wyrzucać do śmieci. O sposoby usunięcia</w:t>
      </w:r>
      <w:r w:rsidR="00CE3A43">
        <w:rPr>
          <w:rFonts w:eastAsia="Times New Roman"/>
          <w:bCs/>
          <w:sz w:val="20"/>
          <w:szCs w:val="20"/>
          <w:lang w:val="pl-PL" w:eastAsia="pl-PL"/>
        </w:rPr>
        <w:t xml:space="preserve"> </w:t>
      </w:r>
      <w:r w:rsidRPr="00EE2299">
        <w:rPr>
          <w:rFonts w:eastAsia="Times New Roman"/>
          <w:bCs/>
          <w:sz w:val="20"/>
          <w:szCs w:val="20"/>
          <w:lang w:val="pl-PL" w:eastAsia="pl-PL"/>
        </w:rPr>
        <w:t>niepotrzebnych leków zapytaj lekarza weterynarii lub farmaceutę. Pomogą one chronić środowisko.</w:t>
      </w:r>
    </w:p>
    <w:p w14:paraId="35B7A83F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61BE5559" w14:textId="77777777" w:rsidR="00A9570E" w:rsidRPr="00EE2299" w:rsidRDefault="00A9570E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5DDD16B7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14.</w:t>
      </w:r>
      <w:r w:rsidRPr="00EE2299">
        <w:rPr>
          <w:b/>
          <w:sz w:val="20"/>
          <w:szCs w:val="20"/>
          <w:lang w:val="pl-PL"/>
        </w:rPr>
        <w:tab/>
        <w:t>DATA ZATWIERDZENIA LUB OSTATNIEJ ZMIANY TEKSTU ULOTKI</w:t>
      </w:r>
    </w:p>
    <w:p w14:paraId="05BD4D17" w14:textId="77777777" w:rsidR="00082E86" w:rsidRPr="00EE2299" w:rsidRDefault="00CD69D6" w:rsidP="00683FE6">
      <w:pPr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10</w:t>
      </w:r>
      <w:r w:rsidR="00082E86" w:rsidRPr="00EE2299">
        <w:rPr>
          <w:sz w:val="20"/>
          <w:szCs w:val="20"/>
          <w:lang w:val="pl-PL"/>
        </w:rPr>
        <w:t>/201</w:t>
      </w:r>
      <w:r w:rsidRPr="00EE2299">
        <w:rPr>
          <w:sz w:val="20"/>
          <w:szCs w:val="20"/>
          <w:lang w:val="pl-PL"/>
        </w:rPr>
        <w:t>8</w:t>
      </w:r>
    </w:p>
    <w:p w14:paraId="4A432054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0C3C2078" w14:textId="77777777" w:rsidR="00820F0D" w:rsidRPr="00EE2299" w:rsidRDefault="00820F0D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79B648EC" w14:textId="77777777" w:rsidR="00082E86" w:rsidRPr="00EE2299" w:rsidRDefault="00082E86" w:rsidP="00683FE6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b/>
          <w:sz w:val="20"/>
          <w:szCs w:val="20"/>
          <w:lang w:val="pl-PL"/>
        </w:rPr>
        <w:t>15.</w:t>
      </w:r>
      <w:r w:rsidRPr="00EE2299">
        <w:rPr>
          <w:b/>
          <w:sz w:val="20"/>
          <w:szCs w:val="20"/>
          <w:lang w:val="pl-PL"/>
        </w:rPr>
        <w:tab/>
        <w:t>INNE INFORMACJE</w:t>
      </w:r>
    </w:p>
    <w:p w14:paraId="611881D0" w14:textId="77777777" w:rsidR="00CD69D6" w:rsidRPr="00EE2299" w:rsidRDefault="00CD69D6" w:rsidP="00683FE6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Wielkości opakowań:</w:t>
      </w:r>
    </w:p>
    <w:p w14:paraId="043900FA" w14:textId="77777777" w:rsidR="00CD69D6" w:rsidRPr="00EE2299" w:rsidRDefault="00CD69D6" w:rsidP="00683FE6">
      <w:pPr>
        <w:adjustRightInd w:val="0"/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 xml:space="preserve">Tekturowe pudełka zawierające 3 </w:t>
      </w:r>
      <w:proofErr w:type="spellStart"/>
      <w:r w:rsidRPr="00EE2299">
        <w:rPr>
          <w:sz w:val="20"/>
          <w:szCs w:val="20"/>
          <w:lang w:val="pl-PL"/>
        </w:rPr>
        <w:t>tubostrzykawki</w:t>
      </w:r>
      <w:proofErr w:type="spellEnd"/>
      <w:r w:rsidRPr="00EE2299">
        <w:rPr>
          <w:sz w:val="20"/>
          <w:szCs w:val="20"/>
          <w:lang w:val="pl-PL"/>
        </w:rPr>
        <w:t xml:space="preserve"> i 3 </w:t>
      </w:r>
      <w:r w:rsidR="00597B73">
        <w:rPr>
          <w:sz w:val="20"/>
          <w:szCs w:val="20"/>
          <w:lang w:val="pl-PL"/>
        </w:rPr>
        <w:t>chusteczki</w:t>
      </w:r>
      <w:r w:rsidRPr="00EE2299">
        <w:rPr>
          <w:sz w:val="20"/>
          <w:szCs w:val="20"/>
          <w:lang w:val="pl-PL"/>
        </w:rPr>
        <w:t xml:space="preserve"> do czyszczenia.</w:t>
      </w:r>
    </w:p>
    <w:p w14:paraId="19E72654" w14:textId="77777777" w:rsidR="00CD69D6" w:rsidRPr="00EE2299" w:rsidRDefault="00CD69D6" w:rsidP="00683FE6">
      <w:pPr>
        <w:adjustRightInd w:val="0"/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 xml:space="preserve">Tekturowe pudełka zawierające 12 </w:t>
      </w:r>
      <w:proofErr w:type="spellStart"/>
      <w:r w:rsidRPr="00EE2299">
        <w:rPr>
          <w:sz w:val="20"/>
          <w:szCs w:val="20"/>
          <w:lang w:val="pl-PL"/>
        </w:rPr>
        <w:t>tubostrzykawek</w:t>
      </w:r>
      <w:proofErr w:type="spellEnd"/>
      <w:r w:rsidRPr="00EE2299">
        <w:rPr>
          <w:sz w:val="20"/>
          <w:szCs w:val="20"/>
          <w:lang w:val="pl-PL"/>
        </w:rPr>
        <w:t xml:space="preserve"> i 12 </w:t>
      </w:r>
      <w:r w:rsidR="00597B73">
        <w:rPr>
          <w:sz w:val="20"/>
          <w:szCs w:val="20"/>
          <w:lang w:val="pl-PL"/>
        </w:rPr>
        <w:t>chusteczek</w:t>
      </w:r>
      <w:r w:rsidRPr="00EE2299">
        <w:rPr>
          <w:sz w:val="20"/>
          <w:szCs w:val="20"/>
          <w:lang w:val="pl-PL"/>
        </w:rPr>
        <w:t xml:space="preserve"> do czyszczenia.</w:t>
      </w:r>
    </w:p>
    <w:p w14:paraId="53B61E22" w14:textId="77777777" w:rsidR="00CD69D6" w:rsidRPr="00EE2299" w:rsidRDefault="00CD69D6" w:rsidP="00683FE6">
      <w:pPr>
        <w:adjustRightInd w:val="0"/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Tekturowe</w:t>
      </w:r>
      <w:r w:rsidRPr="00EE2299" w:rsidDel="0057150D">
        <w:rPr>
          <w:sz w:val="20"/>
          <w:szCs w:val="20"/>
          <w:lang w:val="pl-PL"/>
        </w:rPr>
        <w:t xml:space="preserve"> </w:t>
      </w:r>
      <w:r w:rsidRPr="00EE2299">
        <w:rPr>
          <w:sz w:val="20"/>
          <w:szCs w:val="20"/>
          <w:lang w:val="pl-PL"/>
        </w:rPr>
        <w:t xml:space="preserve">pudełka zawierające 24 </w:t>
      </w:r>
      <w:proofErr w:type="spellStart"/>
      <w:r w:rsidRPr="00EE2299">
        <w:rPr>
          <w:sz w:val="20"/>
          <w:szCs w:val="20"/>
          <w:lang w:val="pl-PL"/>
        </w:rPr>
        <w:t>tubostrzykawki</w:t>
      </w:r>
      <w:proofErr w:type="spellEnd"/>
      <w:r w:rsidRPr="00EE2299">
        <w:rPr>
          <w:sz w:val="20"/>
          <w:szCs w:val="20"/>
          <w:lang w:val="pl-PL"/>
        </w:rPr>
        <w:t xml:space="preserve"> i 24 </w:t>
      </w:r>
      <w:r w:rsidR="00597B73">
        <w:rPr>
          <w:sz w:val="20"/>
          <w:szCs w:val="20"/>
          <w:lang w:val="pl-PL"/>
        </w:rPr>
        <w:t>chusteczki</w:t>
      </w:r>
      <w:r w:rsidRPr="00EE2299">
        <w:rPr>
          <w:sz w:val="20"/>
          <w:szCs w:val="20"/>
          <w:lang w:val="pl-PL"/>
        </w:rPr>
        <w:t xml:space="preserve"> do czyszczenia.</w:t>
      </w:r>
    </w:p>
    <w:p w14:paraId="0CAEF258" w14:textId="77777777" w:rsidR="00CD69D6" w:rsidRPr="00EE2299" w:rsidRDefault="00CD69D6" w:rsidP="00683FE6">
      <w:pPr>
        <w:adjustRightInd w:val="0"/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 xml:space="preserve">Tekturowe pudełka zawierające 36 </w:t>
      </w:r>
      <w:proofErr w:type="spellStart"/>
      <w:r w:rsidRPr="00EE2299">
        <w:rPr>
          <w:sz w:val="20"/>
          <w:szCs w:val="20"/>
          <w:lang w:val="pl-PL"/>
        </w:rPr>
        <w:t>tubostrzykawek</w:t>
      </w:r>
      <w:proofErr w:type="spellEnd"/>
      <w:r w:rsidRPr="00EE2299">
        <w:rPr>
          <w:sz w:val="20"/>
          <w:szCs w:val="20"/>
          <w:lang w:val="pl-PL"/>
        </w:rPr>
        <w:t xml:space="preserve"> i 36 </w:t>
      </w:r>
      <w:r w:rsidR="00597B73">
        <w:rPr>
          <w:sz w:val="20"/>
          <w:szCs w:val="20"/>
          <w:lang w:val="pl-PL"/>
        </w:rPr>
        <w:t>chusteczek</w:t>
      </w:r>
      <w:bookmarkStart w:id="0" w:name="_GoBack"/>
      <w:bookmarkEnd w:id="0"/>
      <w:r w:rsidRPr="00EE2299">
        <w:rPr>
          <w:sz w:val="20"/>
          <w:szCs w:val="20"/>
          <w:lang w:val="pl-PL"/>
        </w:rPr>
        <w:t xml:space="preserve"> do czyszczenia.</w:t>
      </w:r>
    </w:p>
    <w:p w14:paraId="2E93D457" w14:textId="77777777" w:rsidR="00CD69D6" w:rsidRPr="00EE2299" w:rsidRDefault="00CD69D6" w:rsidP="00683FE6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</w:p>
    <w:p w14:paraId="7845D42F" w14:textId="77777777" w:rsidR="00CD69D6" w:rsidRPr="00EE2299" w:rsidRDefault="00CD69D6" w:rsidP="00683FE6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Niektóre wielkości opakowań mogą nie być dostępne w obrocie.</w:t>
      </w:r>
    </w:p>
    <w:p w14:paraId="29EA1353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</w:p>
    <w:p w14:paraId="13F4218F" w14:textId="77777777" w:rsidR="00082E86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W celu uzyskania informacji na temat niniejszego produktu leczniczego weterynaryjnego, należy</w:t>
      </w:r>
      <w:r w:rsidR="00CE3A43">
        <w:rPr>
          <w:sz w:val="20"/>
          <w:szCs w:val="20"/>
          <w:lang w:val="pl-PL"/>
        </w:rPr>
        <w:t xml:space="preserve"> </w:t>
      </w:r>
      <w:r w:rsidRPr="00EE2299">
        <w:rPr>
          <w:sz w:val="20"/>
          <w:szCs w:val="20"/>
          <w:lang w:val="pl-PL"/>
        </w:rPr>
        <w:t>kontaktować się z lokalnym przedstawicielem podmiotu odpowiedzialnego:</w:t>
      </w:r>
    </w:p>
    <w:p w14:paraId="17B82C97" w14:textId="77777777" w:rsidR="00863A89" w:rsidRPr="00EE2299" w:rsidRDefault="00082E86" w:rsidP="00683FE6">
      <w:pPr>
        <w:spacing w:line="276" w:lineRule="auto"/>
        <w:jc w:val="both"/>
        <w:rPr>
          <w:sz w:val="20"/>
          <w:szCs w:val="20"/>
          <w:lang w:val="pl-PL"/>
        </w:rPr>
      </w:pPr>
      <w:r w:rsidRPr="00EE2299">
        <w:rPr>
          <w:sz w:val="20"/>
          <w:szCs w:val="20"/>
          <w:lang w:val="pl-PL"/>
        </w:rPr>
        <w:t>LIVISTO Sp. z o.o., ul. Chwaszczyńska 198a, 81-571 Gdynia</w:t>
      </w:r>
    </w:p>
    <w:sectPr w:rsidR="00863A89" w:rsidRPr="00EE2299" w:rsidSect="00437D0C">
      <w:headerReference w:type="default" r:id="rId8"/>
      <w:footerReference w:type="default" r:id="rId9"/>
      <w:type w:val="continuous"/>
      <w:pgSz w:w="11910" w:h="16840" w:code="9"/>
      <w:pgMar w:top="2552" w:right="1418" w:bottom="1418" w:left="1418" w:header="425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ED26" w14:textId="77777777" w:rsidR="001B6E26" w:rsidRDefault="001B6E26">
      <w:r>
        <w:separator/>
      </w:r>
    </w:p>
  </w:endnote>
  <w:endnote w:type="continuationSeparator" w:id="0">
    <w:p w14:paraId="74A60499" w14:textId="77777777" w:rsidR="001B6E26" w:rsidRDefault="001B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37DE50" w14:textId="77777777" w:rsidR="00863A89" w:rsidRPr="0047437B" w:rsidRDefault="00F43978">
            <w:pPr>
              <w:pStyle w:val="Stopka"/>
              <w:jc w:val="center"/>
            </w:pPr>
            <w:r w:rsidRPr="00CE5C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5AF027" wp14:editId="6CBBFFD3">
                      <wp:simplePos x="0" y="0"/>
                      <wp:positionH relativeFrom="page">
                        <wp:posOffset>6850380</wp:posOffset>
                      </wp:positionH>
                      <wp:positionV relativeFrom="page">
                        <wp:posOffset>10052685</wp:posOffset>
                      </wp:positionV>
                      <wp:extent cx="497840" cy="139700"/>
                      <wp:effectExtent l="0" t="0" r="1651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4E658" w14:textId="77777777" w:rsidR="00F43978" w:rsidRDefault="00F43978" w:rsidP="00F43978">
                                  <w:pPr>
                                    <w:spacing w:before="1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E1003A"/>
                                      <w:sz w:val="16"/>
                                    </w:rPr>
                                    <w:t>livisto.com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06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9.4pt;margin-top:791.55pt;width:3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02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" filled="f" stroked="f">
                      <v:textbox inset="0,0,0,0">
                        <w:txbxContent>
                          <w:p w:rsidR="00F43978" w:rsidRDefault="00F43978" w:rsidP="00F43978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E1003A"/>
                                <w:sz w:val="16"/>
                              </w:rPr>
                              <w:t>livisto.com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5C69">
              <w:rPr>
                <w:noProof/>
                <w:sz w:val="16"/>
                <w:szCs w:val="16"/>
              </w:rPr>
              <w:drawing>
                <wp:anchor distT="0" distB="0" distL="0" distR="0" simplePos="0" relativeHeight="251657216" behindDoc="1" locked="0" layoutInCell="1" allowOverlap="1" wp14:anchorId="035244EE" wp14:editId="062B1AEF">
                  <wp:simplePos x="0" y="0"/>
                  <wp:positionH relativeFrom="page">
                    <wp:posOffset>685223</wp:posOffset>
                  </wp:positionH>
                  <wp:positionV relativeFrom="page">
                    <wp:posOffset>9805035</wp:posOffset>
                  </wp:positionV>
                  <wp:extent cx="1633806" cy="49639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06" cy="49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3A89" w:rsidRPr="00CE5C69">
              <w:rPr>
                <w:sz w:val="16"/>
                <w:szCs w:val="16"/>
                <w:lang w:val="pl-PL"/>
              </w:rPr>
              <w:t xml:space="preserve">Strona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PAGE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820F0D">
              <w:rPr>
                <w:bCs/>
                <w:noProof/>
                <w:sz w:val="16"/>
                <w:szCs w:val="16"/>
              </w:rPr>
              <w:t>5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  <w:r w:rsidR="00863A89" w:rsidRPr="00CE5C69">
              <w:rPr>
                <w:sz w:val="16"/>
                <w:szCs w:val="16"/>
                <w:lang w:val="pl-PL"/>
              </w:rPr>
              <w:t xml:space="preserve"> z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NUMPAGES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820F0D">
              <w:rPr>
                <w:bCs/>
                <w:noProof/>
                <w:sz w:val="16"/>
                <w:szCs w:val="16"/>
              </w:rPr>
              <w:t>6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589E8C" w14:textId="77777777" w:rsidR="00CF7C7A" w:rsidRDefault="00CF7C7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1CE6" w14:textId="77777777" w:rsidR="001B6E26" w:rsidRDefault="001B6E26">
      <w:r>
        <w:separator/>
      </w:r>
    </w:p>
  </w:footnote>
  <w:footnote w:type="continuationSeparator" w:id="0">
    <w:p w14:paraId="1D16181F" w14:textId="77777777" w:rsidR="001B6E26" w:rsidRDefault="001B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80E6" w14:textId="77777777" w:rsidR="00CF7C7A" w:rsidRDefault="001B6E26">
    <w:pPr>
      <w:pStyle w:val="Tekstpodstawowy"/>
      <w:spacing w:line="14" w:lineRule="auto"/>
    </w:pPr>
    <w:r>
      <w:rPr>
        <w:noProof/>
      </w:rPr>
      <w:pict w14:anchorId="6CB9C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49" type="#_x0000_t136" style="position:absolute;margin-left:0;margin-top:0;width:403.2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  <w:r w:rsidR="00CF7C7A"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2F4CF4F8" wp14:editId="365E93DA">
          <wp:simplePos x="0" y="0"/>
          <wp:positionH relativeFrom="page">
            <wp:posOffset>360794</wp:posOffset>
          </wp:positionH>
          <wp:positionV relativeFrom="page">
            <wp:posOffset>271250</wp:posOffset>
          </wp:positionV>
          <wp:extent cx="1635117" cy="1051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17" cy="1051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1D"/>
    <w:multiLevelType w:val="hybridMultilevel"/>
    <w:tmpl w:val="E42AE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74E"/>
    <w:multiLevelType w:val="hybridMultilevel"/>
    <w:tmpl w:val="54DAB428"/>
    <w:lvl w:ilvl="0" w:tplc="D67CFE1C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9D0A23E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BAA2DE">
      <w:numFmt w:val="bullet"/>
      <w:lvlText w:val="•"/>
      <w:lvlJc w:val="left"/>
      <w:pPr>
        <w:ind w:left="1887" w:hanging="356"/>
      </w:pPr>
      <w:rPr>
        <w:rFonts w:hint="default"/>
      </w:rPr>
    </w:lvl>
    <w:lvl w:ilvl="3" w:tplc="C41A97F6"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3B00C310">
      <w:numFmt w:val="bullet"/>
      <w:lvlText w:val="•"/>
      <w:lvlJc w:val="left"/>
      <w:pPr>
        <w:ind w:left="4022" w:hanging="356"/>
      </w:pPr>
      <w:rPr>
        <w:rFonts w:hint="default"/>
      </w:rPr>
    </w:lvl>
    <w:lvl w:ilvl="5" w:tplc="E3329646">
      <w:numFmt w:val="bullet"/>
      <w:lvlText w:val="•"/>
      <w:lvlJc w:val="left"/>
      <w:pPr>
        <w:ind w:left="5089" w:hanging="356"/>
      </w:pPr>
      <w:rPr>
        <w:rFonts w:hint="default"/>
      </w:rPr>
    </w:lvl>
    <w:lvl w:ilvl="6" w:tplc="9740D7A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F164447E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1FFC6848">
      <w:numFmt w:val="bullet"/>
      <w:lvlText w:val="•"/>
      <w:lvlJc w:val="left"/>
      <w:pPr>
        <w:ind w:left="8291" w:hanging="356"/>
      </w:pPr>
      <w:rPr>
        <w:rFonts w:hint="default"/>
      </w:rPr>
    </w:lvl>
  </w:abstractNum>
  <w:abstractNum w:abstractNumId="2" w15:restartNumberingAfterBreak="0">
    <w:nsid w:val="340E3FFC"/>
    <w:multiLevelType w:val="hybridMultilevel"/>
    <w:tmpl w:val="F63876CC"/>
    <w:lvl w:ilvl="0" w:tplc="FFFFFFFF">
      <w:start w:val="1"/>
      <w:numFmt w:val="bullet"/>
      <w:lvlText w:val="-"/>
      <w:lvlJc w:val="lef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D325666"/>
    <w:multiLevelType w:val="hybridMultilevel"/>
    <w:tmpl w:val="2654C124"/>
    <w:lvl w:ilvl="0" w:tplc="DB0CE7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2A4F"/>
    <w:multiLevelType w:val="hybridMultilevel"/>
    <w:tmpl w:val="C0CCED52"/>
    <w:lvl w:ilvl="0" w:tplc="6C463C22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80B"/>
    <w:multiLevelType w:val="hybridMultilevel"/>
    <w:tmpl w:val="C94AD02C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2678"/>
    <w:multiLevelType w:val="hybridMultilevel"/>
    <w:tmpl w:val="2146D6E4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35888"/>
    <w:multiLevelType w:val="hybridMultilevel"/>
    <w:tmpl w:val="35D0C756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4"/>
    <w:rsid w:val="00022904"/>
    <w:rsid w:val="00043E48"/>
    <w:rsid w:val="00062E26"/>
    <w:rsid w:val="00063E27"/>
    <w:rsid w:val="00070732"/>
    <w:rsid w:val="0007360E"/>
    <w:rsid w:val="00082E86"/>
    <w:rsid w:val="000B7D1C"/>
    <w:rsid w:val="000D5DF5"/>
    <w:rsid w:val="00131114"/>
    <w:rsid w:val="001367A5"/>
    <w:rsid w:val="001B6E26"/>
    <w:rsid w:val="001E5245"/>
    <w:rsid w:val="00201F8C"/>
    <w:rsid w:val="0025675B"/>
    <w:rsid w:val="00266C68"/>
    <w:rsid w:val="002965A1"/>
    <w:rsid w:val="002D0E4E"/>
    <w:rsid w:val="002E0ED2"/>
    <w:rsid w:val="00312DE7"/>
    <w:rsid w:val="00315458"/>
    <w:rsid w:val="0039434D"/>
    <w:rsid w:val="00395D96"/>
    <w:rsid w:val="00396A33"/>
    <w:rsid w:val="003F29C8"/>
    <w:rsid w:val="004072F1"/>
    <w:rsid w:val="00437D0C"/>
    <w:rsid w:val="0047437B"/>
    <w:rsid w:val="004B6BB4"/>
    <w:rsid w:val="00537C44"/>
    <w:rsid w:val="00556DB7"/>
    <w:rsid w:val="00566495"/>
    <w:rsid w:val="00597B73"/>
    <w:rsid w:val="005A1973"/>
    <w:rsid w:val="005F2C03"/>
    <w:rsid w:val="00642DC3"/>
    <w:rsid w:val="00680665"/>
    <w:rsid w:val="00683FE6"/>
    <w:rsid w:val="00690FB4"/>
    <w:rsid w:val="006A16D0"/>
    <w:rsid w:val="006A6ECC"/>
    <w:rsid w:val="006B7374"/>
    <w:rsid w:val="00742EA5"/>
    <w:rsid w:val="007764BD"/>
    <w:rsid w:val="007A2C82"/>
    <w:rsid w:val="007E366F"/>
    <w:rsid w:val="007E4CD7"/>
    <w:rsid w:val="00820F0D"/>
    <w:rsid w:val="00835A2B"/>
    <w:rsid w:val="008370F1"/>
    <w:rsid w:val="00863A89"/>
    <w:rsid w:val="00881488"/>
    <w:rsid w:val="008F3303"/>
    <w:rsid w:val="00922807"/>
    <w:rsid w:val="009A4283"/>
    <w:rsid w:val="00A87FB6"/>
    <w:rsid w:val="00A9570E"/>
    <w:rsid w:val="00B22B85"/>
    <w:rsid w:val="00B77D93"/>
    <w:rsid w:val="00B877A4"/>
    <w:rsid w:val="00BB0BC4"/>
    <w:rsid w:val="00BC24EB"/>
    <w:rsid w:val="00C1547B"/>
    <w:rsid w:val="00C16D60"/>
    <w:rsid w:val="00C22221"/>
    <w:rsid w:val="00C35016"/>
    <w:rsid w:val="00C86A81"/>
    <w:rsid w:val="00C95A7F"/>
    <w:rsid w:val="00CD69D6"/>
    <w:rsid w:val="00CE1269"/>
    <w:rsid w:val="00CE3A43"/>
    <w:rsid w:val="00CE5C69"/>
    <w:rsid w:val="00CF7C7A"/>
    <w:rsid w:val="00D17723"/>
    <w:rsid w:val="00D338F0"/>
    <w:rsid w:val="00D511BD"/>
    <w:rsid w:val="00DA2E0F"/>
    <w:rsid w:val="00DF144B"/>
    <w:rsid w:val="00EA575B"/>
    <w:rsid w:val="00EC4EDC"/>
    <w:rsid w:val="00EE2299"/>
    <w:rsid w:val="00F050BB"/>
    <w:rsid w:val="00F43978"/>
    <w:rsid w:val="00F52DBD"/>
    <w:rsid w:val="00F662F3"/>
    <w:rsid w:val="00F703B0"/>
    <w:rsid w:val="00FA73ED"/>
    <w:rsid w:val="00FD048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037697B"/>
  <w15:docId w15:val="{288B997A-BAA4-4258-9CD8-96444E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78"/>
      <w:outlineLvl w:val="0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8" w:hanging="566"/>
    </w:pPr>
  </w:style>
  <w:style w:type="paragraph" w:customStyle="1" w:styleId="TableParagraph">
    <w:name w:val="Table Paragraph"/>
    <w:basedOn w:val="Normalny"/>
    <w:uiPriority w:val="1"/>
    <w:qFormat/>
    <w:pPr>
      <w:spacing w:before="21"/>
      <w:ind w:left="40"/>
    </w:pPr>
  </w:style>
  <w:style w:type="paragraph" w:customStyle="1" w:styleId="TextkrperFachinformation">
    <w:name w:val="TextkörperFachinformation"/>
    <w:basedOn w:val="Normalny"/>
    <w:link w:val="TextkrperFachinformationChar"/>
    <w:rsid w:val="007A2C82"/>
    <w:pPr>
      <w:widowControl/>
      <w:tabs>
        <w:tab w:val="left" w:pos="567"/>
      </w:tabs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val="de-DE"/>
    </w:rPr>
  </w:style>
  <w:style w:type="character" w:customStyle="1" w:styleId="TextkrperFachinformationChar">
    <w:name w:val="TextkörperFachinformation Char"/>
    <w:link w:val="TextkrperFachinformation"/>
    <w:rsid w:val="007A2C82"/>
    <w:rPr>
      <w:rFonts w:ascii="Times New Roman" w:eastAsia="Times New Roman" w:hAnsi="Times New Roman" w:cs="Times New Roman"/>
      <w:snapToGrid w:val="0"/>
      <w:szCs w:val="20"/>
      <w:lang w:val="de-DE"/>
    </w:rPr>
  </w:style>
  <w:style w:type="paragraph" w:customStyle="1" w:styleId="berschriftFachinfo1">
    <w:name w:val="ÜberschriftFachinfo1"/>
    <w:basedOn w:val="Nagwek1"/>
    <w:rsid w:val="007A2C82"/>
    <w:pPr>
      <w:keepNext/>
      <w:widowControl/>
      <w:tabs>
        <w:tab w:val="left" w:pos="567"/>
      </w:tabs>
      <w:autoSpaceDE/>
      <w:autoSpaceDN/>
      <w:spacing w:before="360" w:after="60"/>
      <w:ind w:left="567" w:hanging="567"/>
    </w:pPr>
    <w:rPr>
      <w:rFonts w:ascii="Times New Roman" w:eastAsia="Times New Roman" w:hAnsi="Times New Roman"/>
      <w:caps/>
      <w:snapToGrid w:val="0"/>
      <w:kern w:val="32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3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5A1973"/>
  </w:style>
  <w:style w:type="paragraph" w:customStyle="1" w:styleId="berschriftFachInfo3">
    <w:name w:val="ÜberschriftFachInfo3"/>
    <w:basedOn w:val="Normalny"/>
    <w:next w:val="TextkrperFachinformation"/>
    <w:rsid w:val="002E0ED2"/>
    <w:pPr>
      <w:keepNext/>
      <w:widowControl/>
      <w:autoSpaceDE/>
      <w:autoSpaceDN/>
      <w:spacing w:before="120"/>
      <w:outlineLvl w:val="0"/>
    </w:pPr>
    <w:rPr>
      <w:rFonts w:ascii="Times New Roman" w:eastAsia="Times New Roman" w:hAnsi="Times New Roman"/>
      <w:b/>
      <w:bCs/>
      <w:noProof/>
      <w:snapToGrid w:val="0"/>
      <w:kern w:val="32"/>
      <w:lang w:val="de-DE"/>
    </w:rPr>
  </w:style>
  <w:style w:type="character" w:customStyle="1" w:styleId="TextkrperFachinformationZchn">
    <w:name w:val="TextkörperFachinformation Zchn"/>
    <w:rsid w:val="002E0ED2"/>
    <w:rPr>
      <w:snapToGrid w:val="0"/>
      <w:sz w:val="22"/>
      <w:lang w:val="en-GB" w:eastAsia="en-US" w:bidi="ar-SA"/>
    </w:rPr>
  </w:style>
  <w:style w:type="paragraph" w:customStyle="1" w:styleId="AufzhlungFachinfo">
    <w:name w:val="Aufzählung Fachinfo"/>
    <w:basedOn w:val="Normalny"/>
    <w:rsid w:val="002E0ED2"/>
    <w:pPr>
      <w:widowControl/>
      <w:numPr>
        <w:numId w:val="2"/>
      </w:numPr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9"/>
    <w:rPr>
      <w:rFonts w:ascii="Segoe UI" w:eastAsia="Arial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6BB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F5D2-713E-49B6-8619-2DB86520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1132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Beckmann</dc:creator>
  <cp:lastModifiedBy>Marta Słomińska</cp:lastModifiedBy>
  <cp:revision>15</cp:revision>
  <cp:lastPrinted>2019-02-28T12:07:00Z</cp:lastPrinted>
  <dcterms:created xsi:type="dcterms:W3CDTF">2019-02-28T11:06:00Z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2018-01-10T00:00:00Z</vt:filetime>
  </property>
</Properties>
</file>