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A" w:rsidRPr="001B3688" w:rsidRDefault="009D4BF2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  <w:r>
        <w:rPr>
          <w:rFonts w:ascii="Arial" w:eastAsia="Arial" w:hAnsi="Arial" w:cs="Arial"/>
          <w:b/>
          <w:sz w:val="32"/>
          <w:lang w:val="pl-PL"/>
        </w:rPr>
        <w:t>INFORMACJE O PRODUKCIE</w:t>
      </w:r>
    </w:p>
    <w:p w:rsidR="00DE607A" w:rsidRPr="001B3688" w:rsidRDefault="00DE607A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</w:p>
    <w:p w:rsidR="00F24B64" w:rsidRPr="001B3688" w:rsidRDefault="009B38E4" w:rsidP="00DE607A">
      <w:pPr>
        <w:widowControl w:val="0"/>
        <w:autoSpaceDE w:val="0"/>
        <w:autoSpaceDN w:val="0"/>
        <w:spacing w:before="233" w:after="0" w:line="309" w:lineRule="exact"/>
        <w:ind w:left="112"/>
        <w:rPr>
          <w:rFonts w:ascii="Arial" w:eastAsia="Arial" w:hAnsi="Arial" w:cs="Arial"/>
          <w:b/>
          <w:sz w:val="28"/>
          <w:lang w:val="pl-PL"/>
        </w:rPr>
      </w:pPr>
      <w:r>
        <w:rPr>
          <w:rFonts w:ascii="Arial" w:eastAsia="Arial" w:hAnsi="Arial" w:cs="Arial"/>
          <w:b/>
          <w:sz w:val="28"/>
          <w:lang w:val="pl-PL"/>
        </w:rPr>
        <w:t xml:space="preserve">DERBYMED </w:t>
      </w:r>
      <w:r w:rsidR="00462E98">
        <w:rPr>
          <w:rFonts w:ascii="Arial" w:eastAsia="Arial" w:hAnsi="Arial" w:cs="Arial"/>
          <w:b/>
          <w:sz w:val="28"/>
          <w:lang w:val="pl-PL"/>
        </w:rPr>
        <w:t>PUDER-SPRAY</w:t>
      </w:r>
    </w:p>
    <w:p w:rsidR="00F24B64" w:rsidRPr="001B3688" w:rsidRDefault="00462E98" w:rsidP="00DE607A">
      <w:pPr>
        <w:widowControl w:val="0"/>
        <w:autoSpaceDE w:val="0"/>
        <w:autoSpaceDN w:val="0"/>
        <w:spacing w:after="0" w:line="263" w:lineRule="exact"/>
        <w:ind w:left="112"/>
        <w:rPr>
          <w:rFonts w:ascii="Arial" w:eastAsia="Arial" w:hAnsi="Arial" w:cs="Arial"/>
          <w:sz w:val="24"/>
          <w:lang w:val="pl-PL"/>
        </w:rPr>
      </w:pPr>
      <w:r>
        <w:rPr>
          <w:rFonts w:ascii="Arial" w:eastAsia="Arial" w:hAnsi="Arial" w:cs="Arial"/>
          <w:sz w:val="24"/>
          <w:lang w:val="pl-PL"/>
        </w:rPr>
        <w:t>Do pielęgnacji skóry</w:t>
      </w:r>
    </w:p>
    <w:p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Gatunek docelowy</w:t>
      </w:r>
      <w:r w:rsidR="00F24B64" w:rsidRPr="001B3688">
        <w:rPr>
          <w:b/>
          <w:lang w:val="pl-PL"/>
        </w:rPr>
        <w:t xml:space="preserve">: </w:t>
      </w:r>
    </w:p>
    <w:p w:rsidR="00F24B64" w:rsidRPr="001B3688" w:rsidRDefault="00E92D33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Konie</w:t>
      </w:r>
      <w:r w:rsidR="00F24B64" w:rsidRPr="001B3688">
        <w:rPr>
          <w:lang w:val="pl-PL"/>
        </w:rPr>
        <w:t>.</w:t>
      </w:r>
    </w:p>
    <w:p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Zastosowanie</w:t>
      </w:r>
      <w:r w:rsidR="00F24B64" w:rsidRPr="001B3688">
        <w:rPr>
          <w:b/>
          <w:lang w:val="pl-PL"/>
        </w:rPr>
        <w:t xml:space="preserve">: </w:t>
      </w:r>
    </w:p>
    <w:p w:rsidR="00F24B64" w:rsidRPr="001B3688" w:rsidRDefault="00462E98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Wspomaganie regeneracji silnie obciążonych partii skóry, do łagodzenia swędzących, napiętych i wilgotnych podrażnień skóry</w:t>
      </w:r>
      <w:r w:rsidR="00F24B64" w:rsidRPr="001B3688">
        <w:rPr>
          <w:lang w:val="pl-PL"/>
        </w:rPr>
        <w:t>.</w:t>
      </w:r>
    </w:p>
    <w:p w:rsidR="00F24B64" w:rsidRPr="001B3688" w:rsidRDefault="00F24B64" w:rsidP="00DE607A">
      <w:pPr>
        <w:pStyle w:val="Tekstpodstawowy"/>
        <w:spacing w:line="271" w:lineRule="auto"/>
        <w:ind w:left="111" w:right="261"/>
        <w:rPr>
          <w:b/>
          <w:lang w:val="pl-PL"/>
        </w:rPr>
      </w:pPr>
    </w:p>
    <w:p w:rsidR="00F24B64" w:rsidRPr="001B3688" w:rsidRDefault="00E50352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Wskazówki dotyczące stosowania</w:t>
      </w:r>
      <w:r w:rsidR="00F24B64" w:rsidRPr="001B3688">
        <w:rPr>
          <w:b/>
          <w:lang w:val="pl-PL"/>
        </w:rPr>
        <w:t xml:space="preserve">: </w:t>
      </w:r>
    </w:p>
    <w:p w:rsidR="00294773" w:rsidRDefault="00462E98" w:rsidP="00462E98">
      <w:pPr>
        <w:pStyle w:val="Tekstpodstawowy"/>
        <w:spacing w:line="271" w:lineRule="auto"/>
        <w:ind w:left="111" w:right="261"/>
        <w:rPr>
          <w:lang w:val="pl-PL"/>
        </w:rPr>
      </w:pPr>
      <w:r w:rsidRPr="00462E98">
        <w:rPr>
          <w:lang w:val="pl-PL"/>
        </w:rPr>
        <w:t>Przed zastosowaniem silnie wstrząsnąć, do momentu, gdy stalowa kulka swobodnie porusza się w środowisku pudru. Zmienione partie skóry ostrożnie oczyścić i pokrywać 2 – 3 razy dziennie z odległości 10 – 20 cm.</w:t>
      </w:r>
    </w:p>
    <w:p w:rsidR="00462E98" w:rsidRDefault="00462E98" w:rsidP="00462E98">
      <w:pPr>
        <w:pStyle w:val="Tekstpodstawowy"/>
        <w:spacing w:line="271" w:lineRule="auto"/>
        <w:ind w:left="111" w:right="261"/>
        <w:rPr>
          <w:lang w:val="pl-PL"/>
        </w:rPr>
      </w:pPr>
    </w:p>
    <w:p w:rsidR="00294773" w:rsidRPr="00294773" w:rsidRDefault="00462E98" w:rsidP="002975D0">
      <w:pPr>
        <w:pStyle w:val="Tekstpodstawowy"/>
        <w:spacing w:line="271" w:lineRule="auto"/>
        <w:ind w:left="111" w:right="261"/>
        <w:rPr>
          <w:b/>
          <w:lang w:val="pl-PL"/>
        </w:rPr>
      </w:pPr>
      <w:r>
        <w:rPr>
          <w:b/>
          <w:lang w:val="pl-PL"/>
        </w:rPr>
        <w:t>Środki ostrożności</w:t>
      </w:r>
      <w:r w:rsidR="00294773" w:rsidRPr="00294773">
        <w:rPr>
          <w:b/>
          <w:lang w:val="pl-PL"/>
        </w:rPr>
        <w:t>:</w:t>
      </w:r>
    </w:p>
    <w:p w:rsidR="00F24B64" w:rsidRDefault="004207FB" w:rsidP="007B4DFE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S</w:t>
      </w:r>
      <w:r w:rsidR="005B1673" w:rsidRPr="005B1673">
        <w:rPr>
          <w:lang w:val="pl-PL"/>
        </w:rPr>
        <w:t xml:space="preserve">krajnie łatwopalny aerozol. Pojemnik pod ciśnieniem: </w:t>
      </w:r>
      <w:r>
        <w:rPr>
          <w:lang w:val="pl-PL"/>
        </w:rPr>
        <w:t>ogrzanie grozi wybuchem</w:t>
      </w:r>
      <w:r w:rsidR="005B1673" w:rsidRPr="005B1673">
        <w:rPr>
          <w:lang w:val="pl-PL"/>
        </w:rPr>
        <w:t xml:space="preserve">. Może wywoływać uczucie senności i oszołomienia. </w:t>
      </w:r>
      <w:r w:rsidRPr="004207FB">
        <w:rPr>
          <w:lang w:val="pl-PL"/>
        </w:rPr>
        <w:t>Działa toksycznie na organizmy wodne, powodując długotrwałe skutki.</w:t>
      </w:r>
      <w:r>
        <w:rPr>
          <w:lang w:val="pl-PL"/>
        </w:rPr>
        <w:t xml:space="preserve"> </w:t>
      </w:r>
      <w:r w:rsidR="005B1673" w:rsidRPr="005B1673">
        <w:rPr>
          <w:lang w:val="pl-PL"/>
        </w:rPr>
        <w:t xml:space="preserve">Zawiera </w:t>
      </w:r>
      <w:proofErr w:type="spellStart"/>
      <w:r w:rsidR="005B1673" w:rsidRPr="005B1673">
        <w:rPr>
          <w:lang w:val="pl-PL"/>
        </w:rPr>
        <w:t>karwakrol</w:t>
      </w:r>
      <w:proofErr w:type="spellEnd"/>
      <w:r w:rsidR="005B1673" w:rsidRPr="005B1673">
        <w:rPr>
          <w:lang w:val="pl-PL"/>
        </w:rPr>
        <w:t xml:space="preserve">. Może </w:t>
      </w:r>
      <w:r w:rsidR="00405176" w:rsidRPr="00405176">
        <w:rPr>
          <w:lang w:val="pl-PL"/>
        </w:rPr>
        <w:t>powodować wystąpienie reakcji alergicznej</w:t>
      </w:r>
      <w:r w:rsidR="005B1673" w:rsidRPr="005B1673">
        <w:rPr>
          <w:lang w:val="pl-PL"/>
        </w:rPr>
        <w:t xml:space="preserve">. Działa drażniąco na skórę. </w:t>
      </w:r>
      <w:r w:rsidR="00405176" w:rsidRPr="00405176">
        <w:rPr>
          <w:lang w:val="pl-PL"/>
        </w:rPr>
        <w:t>W razie konieczności zasięgnięcia porady lekarza należy pokazać pojemnik lub etykietę</w:t>
      </w:r>
      <w:r w:rsidR="005B1673" w:rsidRPr="005B1673">
        <w:rPr>
          <w:lang w:val="pl-PL"/>
        </w:rPr>
        <w:t>. Nie palić. Nie rozpylać nad otwartym ogniem lub innym źródłem zapłonu. Nie przekłuwać ani nie spalać, nawet po</w:t>
      </w:r>
      <w:r w:rsidR="00145C1C">
        <w:rPr>
          <w:lang w:val="pl-PL"/>
        </w:rPr>
        <w:t xml:space="preserve"> </w:t>
      </w:r>
      <w:r w:rsidR="005B1673" w:rsidRPr="005B1673">
        <w:rPr>
          <w:lang w:val="pl-PL"/>
        </w:rPr>
        <w:t>zużyciu. Stosować wyłącznie na zewnątrz lub w dobrze wentylowanym pomieszczeniu.</w:t>
      </w:r>
      <w:r w:rsidR="00145C1C">
        <w:rPr>
          <w:lang w:val="pl-PL"/>
        </w:rPr>
        <w:t xml:space="preserve"> </w:t>
      </w:r>
      <w:r w:rsidR="00145C1C" w:rsidRPr="00145C1C">
        <w:rPr>
          <w:lang w:val="pl-PL"/>
        </w:rPr>
        <w:t>Usuwanie zawartości</w:t>
      </w:r>
      <w:r w:rsidR="007B4DFE">
        <w:rPr>
          <w:lang w:val="pl-PL"/>
        </w:rPr>
        <w:t xml:space="preserve"> </w:t>
      </w:r>
      <w:r w:rsidR="00145C1C" w:rsidRPr="00145C1C">
        <w:rPr>
          <w:lang w:val="pl-PL"/>
        </w:rPr>
        <w:t>pojemnika zgodnie z lokalnymi / regionalnymi / narodowymi / międzynarodowymi przepisami. Zawiera:</w:t>
      </w:r>
      <w:r w:rsidR="007B4DFE">
        <w:rPr>
          <w:lang w:val="pl-PL"/>
        </w:rPr>
        <w:t xml:space="preserve"> </w:t>
      </w:r>
      <w:r w:rsidR="00145C1C" w:rsidRPr="00145C1C">
        <w:rPr>
          <w:lang w:val="pl-PL"/>
        </w:rPr>
        <w:t>węglowodory, C6,</w:t>
      </w:r>
      <w:r w:rsidR="00145C1C">
        <w:rPr>
          <w:lang w:val="pl-PL"/>
        </w:rPr>
        <w:t xml:space="preserve"> </w:t>
      </w:r>
      <w:proofErr w:type="spellStart"/>
      <w:r w:rsidR="00145C1C" w:rsidRPr="00145C1C">
        <w:rPr>
          <w:lang w:val="pl-PL"/>
        </w:rPr>
        <w:t>izoalkany</w:t>
      </w:r>
      <w:proofErr w:type="spellEnd"/>
      <w:r w:rsidR="00145C1C" w:rsidRPr="00145C1C">
        <w:rPr>
          <w:lang w:val="pl-PL"/>
        </w:rPr>
        <w:t>, &lt; 5 % n-heksan.</w:t>
      </w:r>
    </w:p>
    <w:p w:rsidR="00145C1C" w:rsidRPr="001B3688" w:rsidRDefault="00145C1C" w:rsidP="005B1673">
      <w:pPr>
        <w:pStyle w:val="Tekstpodstawowy"/>
        <w:spacing w:line="271" w:lineRule="auto"/>
        <w:ind w:left="111" w:right="261"/>
        <w:rPr>
          <w:lang w:val="pl-PL"/>
        </w:rPr>
      </w:pPr>
    </w:p>
    <w:p w:rsidR="00145C1C" w:rsidRDefault="00EF60D5" w:rsidP="00145C1C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</w:t>
      </w:r>
      <w:r w:rsidR="00F24B64" w:rsidRPr="001B3688">
        <w:rPr>
          <w:b/>
          <w:lang w:val="pl-PL"/>
        </w:rPr>
        <w:t xml:space="preserve">: </w:t>
      </w:r>
    </w:p>
    <w:p w:rsidR="00145C1C" w:rsidRDefault="00145C1C" w:rsidP="00145C1C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45C1C">
        <w:rPr>
          <w:lang w:val="pl-PL"/>
        </w:rPr>
        <w:t>Tlenek cynku, stearynian wapnia, olejek z oregano, olejek rumiankowy, olejek z arniki, olejek z drzewa</w:t>
      </w:r>
      <w:r>
        <w:rPr>
          <w:lang w:val="pl-PL"/>
        </w:rPr>
        <w:t xml:space="preserve"> </w:t>
      </w:r>
      <w:r w:rsidRPr="00145C1C">
        <w:rPr>
          <w:lang w:val="pl-PL"/>
        </w:rPr>
        <w:t>herbacianego, olejek nagietkowy</w:t>
      </w:r>
      <w:r>
        <w:rPr>
          <w:lang w:val="pl-PL"/>
        </w:rPr>
        <w:t>.</w:t>
      </w:r>
    </w:p>
    <w:p w:rsidR="00F24B64" w:rsidRDefault="00145C1C" w:rsidP="00145C1C">
      <w:pPr>
        <w:pStyle w:val="Tekstpodstawowy"/>
        <w:spacing w:line="271" w:lineRule="auto"/>
        <w:ind w:left="111" w:right="261"/>
        <w:rPr>
          <w:lang w:val="pl-PL"/>
        </w:rPr>
      </w:pPr>
      <w:r w:rsidRPr="00145C1C">
        <w:rPr>
          <w:lang w:val="pl-PL"/>
        </w:rPr>
        <w:t>Gaz nośny: Propan-butan</w:t>
      </w:r>
      <w:r>
        <w:rPr>
          <w:lang w:val="pl-PL"/>
        </w:rPr>
        <w:t>.</w:t>
      </w:r>
    </w:p>
    <w:p w:rsidR="00145C1C" w:rsidRPr="00145C1C" w:rsidRDefault="00145C1C" w:rsidP="00145C1C">
      <w:pPr>
        <w:pStyle w:val="Tekstpodstawowy"/>
        <w:spacing w:line="271" w:lineRule="auto"/>
        <w:ind w:left="111" w:right="261"/>
        <w:rPr>
          <w:b/>
          <w:lang w:val="pl-PL"/>
        </w:rPr>
      </w:pPr>
    </w:p>
    <w:p w:rsidR="00F24B64" w:rsidRPr="001B3688" w:rsidRDefault="0082112D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Opakowanie</w:t>
      </w:r>
      <w:r w:rsidR="00F24B64" w:rsidRPr="001B3688">
        <w:rPr>
          <w:b/>
          <w:lang w:val="pl-PL"/>
        </w:rPr>
        <w:t xml:space="preserve">: </w:t>
      </w:r>
    </w:p>
    <w:p w:rsidR="00F24B64" w:rsidRDefault="00D525C9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Pojemnik</w:t>
      </w:r>
      <w:r w:rsidR="000E26C7">
        <w:rPr>
          <w:lang w:val="pl-PL"/>
        </w:rPr>
        <w:t xml:space="preserve"> </w:t>
      </w:r>
      <w:r w:rsidR="00145C1C">
        <w:rPr>
          <w:lang w:val="pl-PL"/>
        </w:rPr>
        <w:t>2</w:t>
      </w:r>
      <w:r>
        <w:rPr>
          <w:lang w:val="pl-PL"/>
        </w:rPr>
        <w:t>0</w:t>
      </w:r>
      <w:r w:rsidR="000E26C7">
        <w:rPr>
          <w:lang w:val="pl-PL"/>
        </w:rPr>
        <w:t>0 ml</w:t>
      </w:r>
      <w:r w:rsidR="00F24B64" w:rsidRPr="001B3688">
        <w:rPr>
          <w:lang w:val="pl-PL"/>
        </w:rPr>
        <w:t>.</w:t>
      </w:r>
    </w:p>
    <w:p w:rsidR="00D525C9" w:rsidRDefault="00D525C9" w:rsidP="00DE607A">
      <w:pPr>
        <w:pStyle w:val="Tekstpodstawowy"/>
        <w:spacing w:line="271" w:lineRule="auto"/>
        <w:ind w:left="111" w:right="261"/>
        <w:rPr>
          <w:lang w:val="pl-PL"/>
        </w:rPr>
      </w:pPr>
    </w:p>
    <w:p w:rsidR="00145C1C" w:rsidRDefault="00D525C9" w:rsidP="00145C1C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D525C9">
        <w:rPr>
          <w:b/>
          <w:lang w:val="pl-PL"/>
        </w:rPr>
        <w:t>Przechowywanie:</w:t>
      </w:r>
    </w:p>
    <w:p w:rsidR="000E26C7" w:rsidRPr="00145C1C" w:rsidRDefault="00405176" w:rsidP="007B4DFE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Chronić przed dziećmi</w:t>
      </w:r>
      <w:r w:rsidR="00145C1C" w:rsidRPr="00145C1C">
        <w:rPr>
          <w:lang w:val="pl-PL"/>
        </w:rPr>
        <w:t>. Przechowywać z dala od źródeł ciepła, gorących</w:t>
      </w:r>
      <w:r w:rsidR="007B4DFE">
        <w:rPr>
          <w:lang w:val="pl-PL"/>
        </w:rPr>
        <w:t xml:space="preserve"> </w:t>
      </w:r>
      <w:r w:rsidR="00145C1C" w:rsidRPr="00145C1C">
        <w:rPr>
          <w:lang w:val="pl-PL"/>
        </w:rPr>
        <w:t xml:space="preserve">powierzchni, </w:t>
      </w:r>
      <w:r>
        <w:rPr>
          <w:lang w:val="pl-PL"/>
        </w:rPr>
        <w:t>źródeł iskrzenia</w:t>
      </w:r>
      <w:r w:rsidR="00145C1C" w:rsidRPr="00145C1C">
        <w:rPr>
          <w:lang w:val="pl-PL"/>
        </w:rPr>
        <w:t>, otwartego ognia i innych źródeł zapłonu.</w:t>
      </w:r>
      <w:r w:rsidR="00145C1C">
        <w:rPr>
          <w:lang w:val="pl-PL"/>
        </w:rPr>
        <w:t xml:space="preserve"> </w:t>
      </w:r>
      <w:r w:rsidR="00145C1C" w:rsidRPr="00145C1C">
        <w:rPr>
          <w:lang w:val="pl-PL"/>
        </w:rPr>
        <w:t xml:space="preserve">Przechowywać </w:t>
      </w:r>
      <w:r>
        <w:rPr>
          <w:lang w:val="pl-PL"/>
        </w:rPr>
        <w:t>pod zamknięciem</w:t>
      </w:r>
      <w:r w:rsidR="00145C1C" w:rsidRPr="00145C1C">
        <w:rPr>
          <w:lang w:val="pl-PL"/>
        </w:rPr>
        <w:t xml:space="preserve">. Chronić </w:t>
      </w:r>
      <w:r w:rsidR="007B4DFE">
        <w:rPr>
          <w:lang w:val="pl-PL"/>
        </w:rPr>
        <w:t xml:space="preserve"> </w:t>
      </w:r>
      <w:r w:rsidR="00145C1C" w:rsidRPr="00145C1C">
        <w:rPr>
          <w:lang w:val="pl-PL"/>
        </w:rPr>
        <w:t>przed światłem słonecznym. Nie wystawiać na działanie</w:t>
      </w:r>
      <w:r w:rsidR="00145C1C">
        <w:rPr>
          <w:lang w:val="pl-PL"/>
        </w:rPr>
        <w:t xml:space="preserve"> </w:t>
      </w:r>
      <w:r w:rsidR="00145C1C" w:rsidRPr="00145C1C">
        <w:rPr>
          <w:lang w:val="pl-PL"/>
        </w:rPr>
        <w:t>temperatury przekraczającej 50 °C / 122 °F.</w:t>
      </w:r>
      <w:r w:rsidR="00145C1C">
        <w:rPr>
          <w:lang w:val="pl-PL"/>
        </w:rPr>
        <w:t xml:space="preserve"> Przechowywać w temperaturze </w:t>
      </w:r>
      <w:r w:rsidR="00145C1C" w:rsidRPr="00145C1C">
        <w:rPr>
          <w:lang w:val="pl-PL"/>
        </w:rPr>
        <w:t>15 °C – 30 °C</w:t>
      </w:r>
      <w:r w:rsidR="00145C1C">
        <w:rPr>
          <w:lang w:val="pl-PL"/>
        </w:rPr>
        <w:t>.</w:t>
      </w:r>
      <w:r>
        <w:rPr>
          <w:lang w:val="pl-PL"/>
        </w:rPr>
        <w:t xml:space="preserve"> </w:t>
      </w:r>
      <w:r w:rsidRPr="00405176">
        <w:rPr>
          <w:lang w:val="pl-PL"/>
        </w:rPr>
        <w:t>Zawartość/pojemnik usuwać zgodnie z</w:t>
      </w:r>
      <w:r>
        <w:rPr>
          <w:lang w:val="pl-PL"/>
        </w:rPr>
        <w:t xml:space="preserve"> </w:t>
      </w:r>
      <w:bookmarkStart w:id="0" w:name="_GoBack"/>
      <w:bookmarkEnd w:id="0"/>
      <w:r w:rsidRPr="00405176">
        <w:rPr>
          <w:lang w:val="pl-PL"/>
        </w:rPr>
        <w:t>miejscowymi/regionalnymi/krajowymi/międzynarodowymi przepisami.</w:t>
      </w:r>
    </w:p>
    <w:p w:rsidR="00481807" w:rsidRPr="007B4DFE" w:rsidRDefault="00481807" w:rsidP="00E50352">
      <w:pPr>
        <w:pStyle w:val="Tekstpodstawowy"/>
        <w:spacing w:line="271" w:lineRule="auto"/>
        <w:ind w:right="261"/>
        <w:rPr>
          <w:lang w:val="pl-PL"/>
        </w:rPr>
      </w:pPr>
    </w:p>
    <w:p w:rsidR="00481807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LIVISTO </w:t>
      </w:r>
      <w:r w:rsidR="00481807" w:rsidRPr="001B3688">
        <w:rPr>
          <w:lang w:val="pl-PL"/>
        </w:rPr>
        <w:t>Sp. z o.o.</w:t>
      </w:r>
    </w:p>
    <w:p w:rsidR="00481807" w:rsidRPr="001B3688" w:rsidRDefault="00481807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ul. Chwaszc</w:t>
      </w:r>
      <w:r w:rsidR="001B3688">
        <w:rPr>
          <w:lang w:val="pl-PL"/>
        </w:rPr>
        <w:t>z</w:t>
      </w:r>
      <w:r w:rsidRPr="001B3688">
        <w:rPr>
          <w:lang w:val="pl-PL"/>
        </w:rPr>
        <w:t>yńska 198a</w:t>
      </w:r>
    </w:p>
    <w:p w:rsidR="00481807" w:rsidRPr="001B3688" w:rsidRDefault="00481807" w:rsidP="009D4BF2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81-571 Gdynia</w:t>
      </w:r>
    </w:p>
    <w:p w:rsidR="002E7A35" w:rsidRPr="001B3688" w:rsidRDefault="00F24B64" w:rsidP="002975D0">
      <w:pPr>
        <w:pStyle w:val="Tekstpodstawowy"/>
        <w:spacing w:line="271" w:lineRule="auto"/>
        <w:ind w:left="111" w:right="261"/>
        <w:rPr>
          <w:lang w:val="pl-PL"/>
        </w:rPr>
      </w:pPr>
      <w:r w:rsidRPr="00107D5D">
        <w:sym w:font="Symbol" w:char="F061"/>
      </w:r>
      <w:r w:rsidR="001B3688" w:rsidRPr="001B3688">
        <w:rPr>
          <w:lang w:val="pl-PL"/>
        </w:rPr>
        <w:t>PL</w:t>
      </w:r>
      <w:r w:rsidR="001B3688">
        <w:rPr>
          <w:lang w:val="pl-PL"/>
        </w:rPr>
        <w:t xml:space="preserve"> 2262026p</w:t>
      </w:r>
    </w:p>
    <w:sectPr w:rsidR="002E7A35" w:rsidRPr="001B3688" w:rsidSect="0042233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3A" w:rsidRDefault="0024103A">
      <w:r>
        <w:separator/>
      </w:r>
    </w:p>
  </w:endnote>
  <w:endnote w:type="continuationSeparator" w:id="0">
    <w:p w:rsidR="0024103A" w:rsidRDefault="002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52" w:rsidRDefault="00E50352" w:rsidP="00422331">
    <w:pPr>
      <w:pStyle w:val="Stopka"/>
      <w:spacing w:line="36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7968" behindDoc="0" locked="0" layoutInCell="1" allowOverlap="1" wp14:anchorId="2E43D106" wp14:editId="7AB6A60C">
          <wp:simplePos x="0" y="0"/>
          <wp:positionH relativeFrom="column">
            <wp:posOffset>-181293</wp:posOffset>
          </wp:positionH>
          <wp:positionV relativeFrom="paragraph">
            <wp:posOffset>115570</wp:posOffset>
          </wp:positionV>
          <wp:extent cx="1634400" cy="496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Claim_Office_R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4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352" w:rsidRDefault="00E50352" w:rsidP="00C44AB2">
    <w:pPr>
      <w:pStyle w:val="Stopka"/>
      <w:spacing w:after="0" w:line="240" w:lineRule="auto"/>
      <w:ind w:left="4395" w:right="-569"/>
      <w:rPr>
        <w:rFonts w:ascii="Arial" w:hAnsi="Arial" w:cs="Arial"/>
        <w:color w:val="E1003A"/>
        <w:sz w:val="16"/>
        <w:szCs w:val="16"/>
        <w:lang w:val="en-US"/>
      </w:rPr>
    </w:pP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  <w:t>livisto.com</w:t>
    </w:r>
  </w:p>
  <w:p w:rsidR="00E50352" w:rsidRPr="00422331" w:rsidRDefault="00E50352" w:rsidP="00422331">
    <w:pPr>
      <w:pStyle w:val="Stopka"/>
      <w:spacing w:after="0" w:line="240" w:lineRule="auto"/>
      <w:jc w:val="right"/>
      <w:rPr>
        <w:rFonts w:ascii="Arial" w:hAnsi="Arial" w:cs="Arial"/>
        <w:color w:val="E1003A"/>
        <w:sz w:val="16"/>
        <w:szCs w:val="16"/>
      </w:rPr>
    </w:pPr>
  </w:p>
  <w:p w:rsidR="00E50352" w:rsidRPr="00422331" w:rsidRDefault="00EA4305" w:rsidP="00FA23C5">
    <w:pPr>
      <w:pStyle w:val="Stopka"/>
      <w:spacing w:after="0" w:line="240" w:lineRule="auto"/>
      <w:ind w:left="4395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Style w:val="Numerstrony"/>
        <w:rFonts w:ascii="Arial" w:hAnsi="Arial" w:cs="Arial"/>
        <w:color w:val="000000" w:themeColor="text1"/>
        <w:sz w:val="16"/>
        <w:szCs w:val="16"/>
      </w:rPr>
      <w:t>Strona</w:t>
    </w:r>
    <w:proofErr w:type="spellEnd"/>
    <w:r w:rsidR="00E50352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7B4DFE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1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Style w:val="Numerstrony"/>
        <w:rFonts w:ascii="Arial" w:hAnsi="Arial" w:cs="Arial"/>
        <w:color w:val="000000" w:themeColor="text1"/>
        <w:sz w:val="16"/>
        <w:szCs w:val="16"/>
      </w:rPr>
      <w:t>z</w:t>
    </w:r>
    <w:r w:rsidR="00E50352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7B4DFE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1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3A" w:rsidRDefault="0024103A">
      <w:r>
        <w:separator/>
      </w:r>
    </w:p>
  </w:footnote>
  <w:footnote w:type="continuationSeparator" w:id="0">
    <w:p w:rsidR="0024103A" w:rsidRDefault="0024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52" w:rsidRDefault="002410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0" o:spid="_x0000_s2050" type="#_x0000_t136" style="position:absolute;margin-left:0;margin-top:0;width:403.2pt;height:116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52" w:rsidRDefault="00E50352" w:rsidP="00422331">
    <w:pPr>
      <w:pStyle w:val="Nagwek"/>
      <w:spacing w:after="0" w:line="240" w:lineRule="auto"/>
      <w:ind w:left="-284"/>
    </w:pPr>
    <w:r>
      <w:rPr>
        <w:noProof/>
        <w:lang w:val="de-DE" w:eastAsia="de-DE"/>
      </w:rPr>
      <w:drawing>
        <wp:inline distT="0" distB="0" distL="0" distR="0" wp14:anchorId="1DE91120" wp14:editId="1142C32F">
          <wp:extent cx="1635544" cy="10515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Logo_Office_R_Red-S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09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352" w:rsidRPr="00422331" w:rsidRDefault="0024103A" w:rsidP="00422331">
    <w:pPr>
      <w:pStyle w:val="Nagwek"/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51" type="#_x0000_t136" style="position:absolute;margin-left:0;margin-top:0;width:403.2pt;height:11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52" w:rsidRDefault="002410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69" o:spid="_x0000_s2049" type="#_x0000_t136" style="position:absolute;margin-left:0;margin-top:0;width:403.2pt;height:116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14D0"/>
    <w:multiLevelType w:val="hybridMultilevel"/>
    <w:tmpl w:val="63DA14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2"/>
    <w:rsid w:val="00050F48"/>
    <w:rsid w:val="000C2D25"/>
    <w:rsid w:val="000C719F"/>
    <w:rsid w:val="000E26C7"/>
    <w:rsid w:val="000E400B"/>
    <w:rsid w:val="000E40F1"/>
    <w:rsid w:val="00145C1C"/>
    <w:rsid w:val="001704CE"/>
    <w:rsid w:val="001811C4"/>
    <w:rsid w:val="00186378"/>
    <w:rsid w:val="001B3688"/>
    <w:rsid w:val="001F681D"/>
    <w:rsid w:val="00202052"/>
    <w:rsid w:val="002048EE"/>
    <w:rsid w:val="0024103A"/>
    <w:rsid w:val="00294773"/>
    <w:rsid w:val="002975D0"/>
    <w:rsid w:val="002E7A35"/>
    <w:rsid w:val="00301A71"/>
    <w:rsid w:val="00331E3C"/>
    <w:rsid w:val="003B1113"/>
    <w:rsid w:val="003B576F"/>
    <w:rsid w:val="003C0CF9"/>
    <w:rsid w:val="003F7F70"/>
    <w:rsid w:val="0040152F"/>
    <w:rsid w:val="00405176"/>
    <w:rsid w:val="004207FB"/>
    <w:rsid w:val="00422331"/>
    <w:rsid w:val="00462E98"/>
    <w:rsid w:val="00474E28"/>
    <w:rsid w:val="00481807"/>
    <w:rsid w:val="004C3A7E"/>
    <w:rsid w:val="00566114"/>
    <w:rsid w:val="00572298"/>
    <w:rsid w:val="00594C2C"/>
    <w:rsid w:val="005A2993"/>
    <w:rsid w:val="005B1673"/>
    <w:rsid w:val="00630036"/>
    <w:rsid w:val="0066171A"/>
    <w:rsid w:val="006A5CCB"/>
    <w:rsid w:val="006A749B"/>
    <w:rsid w:val="006A7D13"/>
    <w:rsid w:val="006C44D2"/>
    <w:rsid w:val="00706792"/>
    <w:rsid w:val="00721D60"/>
    <w:rsid w:val="0076549D"/>
    <w:rsid w:val="007B2204"/>
    <w:rsid w:val="007B4DFE"/>
    <w:rsid w:val="007D52EB"/>
    <w:rsid w:val="008171C3"/>
    <w:rsid w:val="0082112D"/>
    <w:rsid w:val="008549BE"/>
    <w:rsid w:val="008625BF"/>
    <w:rsid w:val="0087697D"/>
    <w:rsid w:val="008A1AD2"/>
    <w:rsid w:val="008D377C"/>
    <w:rsid w:val="008F7512"/>
    <w:rsid w:val="00935422"/>
    <w:rsid w:val="009360E9"/>
    <w:rsid w:val="009A75BC"/>
    <w:rsid w:val="009B38E4"/>
    <w:rsid w:val="009C7FDC"/>
    <w:rsid w:val="009D4BF2"/>
    <w:rsid w:val="009D5555"/>
    <w:rsid w:val="00A94744"/>
    <w:rsid w:val="00AD15B8"/>
    <w:rsid w:val="00AD5250"/>
    <w:rsid w:val="00AE1205"/>
    <w:rsid w:val="00AF5976"/>
    <w:rsid w:val="00B11AAC"/>
    <w:rsid w:val="00B60DCE"/>
    <w:rsid w:val="00B802B5"/>
    <w:rsid w:val="00B90204"/>
    <w:rsid w:val="00B94C0A"/>
    <w:rsid w:val="00BB2F0E"/>
    <w:rsid w:val="00BE2F4E"/>
    <w:rsid w:val="00BE7DC0"/>
    <w:rsid w:val="00C44AB2"/>
    <w:rsid w:val="00CC618E"/>
    <w:rsid w:val="00D00A33"/>
    <w:rsid w:val="00D521B2"/>
    <w:rsid w:val="00D525C9"/>
    <w:rsid w:val="00DE607A"/>
    <w:rsid w:val="00E4388C"/>
    <w:rsid w:val="00E50352"/>
    <w:rsid w:val="00E92D33"/>
    <w:rsid w:val="00EA4305"/>
    <w:rsid w:val="00EA57B5"/>
    <w:rsid w:val="00EC5CA2"/>
    <w:rsid w:val="00EF60D5"/>
    <w:rsid w:val="00F24B64"/>
    <w:rsid w:val="00F75072"/>
    <w:rsid w:val="00FA23C5"/>
    <w:rsid w:val="00FB5046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7A1CF0D"/>
  <w15:docId w15:val="{63ACC82C-CBDD-44F1-B213-C84CD95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1AAC"/>
    <w:pPr>
      <w:spacing w:after="160" w:line="259" w:lineRule="auto"/>
    </w:pPr>
    <w:rPr>
      <w:rFonts w:asciiTheme="minorHAnsi" w:hAnsiTheme="minorHAns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7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6114"/>
  </w:style>
  <w:style w:type="paragraph" w:styleId="Bezodstpw">
    <w:name w:val="No Spacing"/>
    <w:uiPriority w:val="1"/>
    <w:qFormat/>
    <w:rsid w:val="00B11AAC"/>
    <w:rPr>
      <w:rFonts w:asciiTheme="minorHAnsi" w:hAnsiTheme="minorHAns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4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2331"/>
    <w:rPr>
      <w:rFonts w:ascii="Tahoma" w:hAnsi="Tahoma" w:cs="Tahoma"/>
      <w:sz w:val="16"/>
      <w:szCs w:val="16"/>
      <w:lang w:val="en-GB" w:eastAsia="en-US"/>
    </w:rPr>
  </w:style>
  <w:style w:type="paragraph" w:styleId="Podtytu">
    <w:name w:val="Subtitle"/>
    <w:basedOn w:val="Normalny"/>
    <w:link w:val="PodtytuZnak"/>
    <w:qFormat/>
    <w:rsid w:val="00F24B64"/>
    <w:pPr>
      <w:spacing w:after="0" w:line="240" w:lineRule="auto"/>
      <w:jc w:val="center"/>
    </w:pPr>
    <w:rPr>
      <w:rFonts w:ascii="Arial" w:hAnsi="Arial" w:cs="Arial"/>
      <w:b/>
      <w:bCs/>
      <w:spacing w:val="-2"/>
      <w:sz w:val="40"/>
      <w:szCs w:val="20"/>
      <w:lang w:val="es-ES_tradnl" w:eastAsia="es-ES"/>
    </w:rPr>
  </w:style>
  <w:style w:type="character" w:customStyle="1" w:styleId="PodtytuZnak">
    <w:name w:val="Podtytuł Znak"/>
    <w:basedOn w:val="Domylnaczcionkaakapitu"/>
    <w:link w:val="Podtytu"/>
    <w:rsid w:val="00F24B64"/>
    <w:rPr>
      <w:rFonts w:ascii="Arial" w:hAnsi="Arial" w:cs="Arial"/>
      <w:b/>
      <w:bCs/>
      <w:spacing w:val="-2"/>
      <w:sz w:val="40"/>
      <w:lang w:val="es-ES_tradnl" w:eastAsia="es-ES"/>
    </w:rPr>
  </w:style>
  <w:style w:type="paragraph" w:styleId="Tekstpodstawowy">
    <w:name w:val="Body Text"/>
    <w:basedOn w:val="Normalny"/>
    <w:link w:val="TekstpodstawowyZnak"/>
    <w:uiPriority w:val="1"/>
    <w:qFormat/>
    <w:rsid w:val="00DE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607A"/>
    <w:rPr>
      <w:rFonts w:ascii="Arial" w:eastAsia="Arial" w:hAnsi="Arial" w:cs="Arial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211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1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112D"/>
    <w:rPr>
      <w:rFonts w:asciiTheme="minorHAnsi" w:hAnsiTheme="minorHAns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112D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AGRAVIS Raiffeisen AG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Beckmann</dc:creator>
  <cp:lastModifiedBy>Katarzyna Łbik</cp:lastModifiedBy>
  <cp:revision>16</cp:revision>
  <cp:lastPrinted>2018-02-19T14:05:00Z</cp:lastPrinted>
  <dcterms:created xsi:type="dcterms:W3CDTF">2018-02-19T12:07:00Z</dcterms:created>
  <dcterms:modified xsi:type="dcterms:W3CDTF">2018-04-20T08:35:00Z</dcterms:modified>
</cp:coreProperties>
</file>