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42308" w14:textId="77777777" w:rsidR="00DE607A" w:rsidRPr="001B3688" w:rsidRDefault="009D4BF2" w:rsidP="00DE607A">
      <w:pPr>
        <w:widowControl w:val="0"/>
        <w:autoSpaceDE w:val="0"/>
        <w:autoSpaceDN w:val="0"/>
        <w:spacing w:before="161" w:after="0" w:line="240" w:lineRule="auto"/>
        <w:ind w:left="112"/>
        <w:rPr>
          <w:rFonts w:ascii="Arial" w:eastAsia="Arial" w:hAnsi="Arial" w:cs="Arial"/>
          <w:b/>
          <w:sz w:val="32"/>
          <w:lang w:val="pl-PL"/>
        </w:rPr>
      </w:pPr>
      <w:r>
        <w:rPr>
          <w:rFonts w:ascii="Arial" w:eastAsia="Arial" w:hAnsi="Arial" w:cs="Arial"/>
          <w:b/>
          <w:sz w:val="32"/>
          <w:lang w:val="pl-PL"/>
        </w:rPr>
        <w:t>INFORMACJE O PRODUKCIE</w:t>
      </w:r>
    </w:p>
    <w:p w14:paraId="65C0AD44" w14:textId="77777777" w:rsidR="00DE607A" w:rsidRPr="001B3688" w:rsidRDefault="00DE607A" w:rsidP="00DE607A">
      <w:pPr>
        <w:widowControl w:val="0"/>
        <w:autoSpaceDE w:val="0"/>
        <w:autoSpaceDN w:val="0"/>
        <w:spacing w:before="161" w:after="0" w:line="240" w:lineRule="auto"/>
        <w:ind w:left="112"/>
        <w:rPr>
          <w:rFonts w:ascii="Arial" w:eastAsia="Arial" w:hAnsi="Arial" w:cs="Arial"/>
          <w:b/>
          <w:sz w:val="32"/>
          <w:lang w:val="pl-PL"/>
        </w:rPr>
      </w:pPr>
    </w:p>
    <w:p w14:paraId="2BC3EEDC" w14:textId="77777777" w:rsidR="00F24B64" w:rsidRPr="001B3688" w:rsidRDefault="00F90A32" w:rsidP="00DE607A">
      <w:pPr>
        <w:widowControl w:val="0"/>
        <w:autoSpaceDE w:val="0"/>
        <w:autoSpaceDN w:val="0"/>
        <w:spacing w:before="233" w:after="0" w:line="309" w:lineRule="exact"/>
        <w:ind w:left="112"/>
        <w:rPr>
          <w:rFonts w:ascii="Arial" w:eastAsia="Arial" w:hAnsi="Arial" w:cs="Arial"/>
          <w:b/>
          <w:sz w:val="28"/>
          <w:lang w:val="pl-PL"/>
        </w:rPr>
      </w:pPr>
      <w:r>
        <w:rPr>
          <w:rFonts w:ascii="Arial" w:eastAsia="Arial" w:hAnsi="Arial" w:cs="Arial"/>
          <w:b/>
          <w:sz w:val="28"/>
          <w:lang w:val="pl-PL"/>
        </w:rPr>
        <w:t xml:space="preserve">DERBYMED </w:t>
      </w:r>
      <w:r w:rsidR="003A1EE6">
        <w:rPr>
          <w:rFonts w:ascii="Arial" w:eastAsia="Arial" w:hAnsi="Arial" w:cs="Arial"/>
          <w:b/>
          <w:sz w:val="28"/>
          <w:lang w:val="pl-PL"/>
        </w:rPr>
        <w:t>GASTROQUIN AKUT</w:t>
      </w:r>
    </w:p>
    <w:p w14:paraId="16AF29A4" w14:textId="77777777" w:rsidR="00F24B64" w:rsidRPr="001B3688" w:rsidRDefault="00294773" w:rsidP="00DE607A">
      <w:pPr>
        <w:widowControl w:val="0"/>
        <w:autoSpaceDE w:val="0"/>
        <w:autoSpaceDN w:val="0"/>
        <w:spacing w:after="0" w:line="263" w:lineRule="exact"/>
        <w:ind w:left="112"/>
        <w:rPr>
          <w:rFonts w:ascii="Arial" w:eastAsia="Arial" w:hAnsi="Arial" w:cs="Arial"/>
          <w:sz w:val="24"/>
          <w:lang w:val="pl-PL"/>
        </w:rPr>
      </w:pPr>
      <w:r>
        <w:rPr>
          <w:rFonts w:ascii="Arial" w:eastAsia="Arial" w:hAnsi="Arial" w:cs="Arial"/>
          <w:sz w:val="24"/>
          <w:lang w:val="pl-PL"/>
        </w:rPr>
        <w:t>M</w:t>
      </w:r>
      <w:r w:rsidR="000E400B" w:rsidRPr="001B3688">
        <w:rPr>
          <w:rFonts w:ascii="Arial" w:eastAsia="Arial" w:hAnsi="Arial" w:cs="Arial"/>
          <w:sz w:val="24"/>
          <w:lang w:val="pl-PL"/>
        </w:rPr>
        <w:t xml:space="preserve">ieszanka paszowa uzupełniająca dla </w:t>
      </w:r>
      <w:r w:rsidR="003A1EE6">
        <w:rPr>
          <w:rFonts w:ascii="Arial" w:eastAsia="Arial" w:hAnsi="Arial" w:cs="Arial"/>
          <w:sz w:val="24"/>
          <w:lang w:val="pl-PL"/>
        </w:rPr>
        <w:t>źrebiąt</w:t>
      </w:r>
      <w:r w:rsidR="00CE0CE5">
        <w:rPr>
          <w:rFonts w:ascii="Arial" w:eastAsia="Arial" w:hAnsi="Arial" w:cs="Arial"/>
          <w:sz w:val="24"/>
          <w:lang w:val="pl-PL"/>
        </w:rPr>
        <w:t xml:space="preserve">, </w:t>
      </w:r>
      <w:r w:rsidR="003A1EE6">
        <w:rPr>
          <w:rFonts w:ascii="Arial" w:eastAsia="Arial" w:hAnsi="Arial" w:cs="Arial"/>
          <w:sz w:val="24"/>
          <w:lang w:val="pl-PL"/>
        </w:rPr>
        <w:t>stabilizująca gospodarkę wodno-elektrolitową</w:t>
      </w:r>
    </w:p>
    <w:p w14:paraId="58DD4980" w14:textId="77777777" w:rsidR="00F24B64" w:rsidRPr="001B3688" w:rsidRDefault="00F24B64" w:rsidP="00F24B64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3C5993EF" w14:textId="77777777" w:rsidR="00F24B64" w:rsidRPr="001B3688" w:rsidRDefault="00EF60D5" w:rsidP="00DE607A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Gatunek docelowy</w:t>
      </w:r>
      <w:r w:rsidR="00F24B64" w:rsidRPr="001B3688">
        <w:rPr>
          <w:b/>
          <w:lang w:val="pl-PL"/>
        </w:rPr>
        <w:t xml:space="preserve">: </w:t>
      </w:r>
    </w:p>
    <w:p w14:paraId="538D08E5" w14:textId="77777777" w:rsidR="00F24B64" w:rsidRPr="001B3688" w:rsidRDefault="00E92D33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Konie</w:t>
      </w:r>
      <w:r w:rsidR="00F24B64" w:rsidRPr="001B3688">
        <w:rPr>
          <w:lang w:val="pl-PL"/>
        </w:rPr>
        <w:t>.</w:t>
      </w:r>
    </w:p>
    <w:p w14:paraId="649B278F" w14:textId="77777777" w:rsidR="00F24B64" w:rsidRPr="001B3688" w:rsidRDefault="00F24B64" w:rsidP="00DE607A">
      <w:pPr>
        <w:pStyle w:val="Tekstpodstawowy"/>
        <w:spacing w:line="271" w:lineRule="auto"/>
        <w:ind w:left="111" w:right="261"/>
        <w:rPr>
          <w:lang w:val="pl-PL"/>
        </w:rPr>
      </w:pPr>
    </w:p>
    <w:p w14:paraId="2F498825" w14:textId="77777777" w:rsidR="00F24B64" w:rsidRPr="001B3688" w:rsidRDefault="00EF60D5" w:rsidP="00DE607A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Zastosowanie</w:t>
      </w:r>
      <w:r w:rsidR="00F24B64" w:rsidRPr="001B3688">
        <w:rPr>
          <w:b/>
          <w:lang w:val="pl-PL"/>
        </w:rPr>
        <w:t xml:space="preserve">: </w:t>
      </w:r>
    </w:p>
    <w:p w14:paraId="32F8BC33" w14:textId="77777777" w:rsidR="00F24B64" w:rsidRPr="001B3688" w:rsidRDefault="003A1EE6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Przy ryzyku pojawienia się, podczas lub po wystąpieniu zaburzeń trawienia (biegunki)</w:t>
      </w:r>
      <w:r w:rsidR="00F24B64" w:rsidRPr="001B3688">
        <w:rPr>
          <w:lang w:val="pl-PL"/>
        </w:rPr>
        <w:t>.</w:t>
      </w:r>
    </w:p>
    <w:p w14:paraId="0B58B251" w14:textId="77777777" w:rsidR="00F24B64" w:rsidRPr="001B3688" w:rsidRDefault="00F24B64" w:rsidP="00DE607A">
      <w:pPr>
        <w:pStyle w:val="Tekstpodstawowy"/>
        <w:spacing w:line="271" w:lineRule="auto"/>
        <w:ind w:left="111" w:right="261"/>
        <w:rPr>
          <w:b/>
          <w:lang w:val="pl-PL"/>
        </w:rPr>
      </w:pPr>
    </w:p>
    <w:p w14:paraId="64BD9355" w14:textId="77777777" w:rsidR="00F24B64" w:rsidRPr="001B3688" w:rsidRDefault="00E50352" w:rsidP="00DE607A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Wskazówki dotyczące stosowania</w:t>
      </w:r>
      <w:r w:rsidR="00F24B64" w:rsidRPr="001B3688">
        <w:rPr>
          <w:b/>
          <w:lang w:val="pl-PL"/>
        </w:rPr>
        <w:t xml:space="preserve">: </w:t>
      </w:r>
    </w:p>
    <w:p w14:paraId="57CA0FC6" w14:textId="77777777" w:rsidR="002975D0" w:rsidRDefault="003A1EE6" w:rsidP="00294773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 xml:space="preserve">Źrebięta przy zaburzeniach trawienia (biegunce) podczas pierwszych dwóch miesięcy życia otrzymują </w:t>
      </w:r>
      <w:r w:rsidR="00722237">
        <w:rPr>
          <w:lang w:val="pl-PL"/>
        </w:rPr>
        <w:br/>
      </w:r>
      <w:r>
        <w:rPr>
          <w:lang w:val="pl-PL"/>
        </w:rPr>
        <w:t>2 x 15 ml Gastroquin akut/dzień</w:t>
      </w:r>
      <w:r w:rsidR="005D7CE2">
        <w:rPr>
          <w:lang w:val="pl-PL"/>
        </w:rPr>
        <w:t>.</w:t>
      </w:r>
      <w:r>
        <w:rPr>
          <w:lang w:val="pl-PL"/>
        </w:rPr>
        <w:t xml:space="preserve"> Starsze źrebięta oraz konie dorosłe otrzymują 4 x 15 ml Gastroquin akut/dzień. Zalecany czas podawania: 1-7 dni. Przed podaniem zaleca się skonsultowanie z lekarzem weterynarii.</w:t>
      </w:r>
    </w:p>
    <w:p w14:paraId="7DCC0E58" w14:textId="77777777" w:rsidR="00294773" w:rsidRDefault="00294773" w:rsidP="002975D0">
      <w:pPr>
        <w:pStyle w:val="Tekstpodstawowy"/>
        <w:spacing w:line="271" w:lineRule="auto"/>
        <w:ind w:left="111" w:right="261"/>
        <w:rPr>
          <w:lang w:val="pl-PL"/>
        </w:rPr>
      </w:pPr>
    </w:p>
    <w:p w14:paraId="184F49FF" w14:textId="77777777" w:rsidR="00294773" w:rsidRPr="00294773" w:rsidRDefault="00294773" w:rsidP="002975D0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294773">
        <w:rPr>
          <w:b/>
          <w:lang w:val="pl-PL"/>
        </w:rPr>
        <w:t>Wskazówki dotyczące podawania:</w:t>
      </w:r>
    </w:p>
    <w:p w14:paraId="34D67136" w14:textId="77777777" w:rsidR="00294773" w:rsidRDefault="00294773" w:rsidP="002975D0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 xml:space="preserve">Ze względu na </w:t>
      </w:r>
      <w:r w:rsidR="00B30325">
        <w:rPr>
          <w:lang w:val="pl-PL"/>
        </w:rPr>
        <w:t>wysoką</w:t>
      </w:r>
      <w:r>
        <w:rPr>
          <w:lang w:val="pl-PL"/>
        </w:rPr>
        <w:t xml:space="preserve"> zawartość</w:t>
      </w:r>
      <w:r w:rsidR="005D7CE2">
        <w:rPr>
          <w:lang w:val="pl-PL"/>
        </w:rPr>
        <w:t xml:space="preserve"> </w:t>
      </w:r>
      <w:r w:rsidR="00B30325" w:rsidRPr="00B30325">
        <w:rPr>
          <w:i/>
          <w:lang w:val="pl-PL"/>
        </w:rPr>
        <w:t>Saccharomyces cerevisiae</w:t>
      </w:r>
      <w:r w:rsidR="00B30325">
        <w:rPr>
          <w:lang w:val="pl-PL"/>
        </w:rPr>
        <w:t xml:space="preserve"> NCYC Sc 47 (4b1702) </w:t>
      </w:r>
      <w:r>
        <w:rPr>
          <w:lang w:val="pl-PL"/>
        </w:rPr>
        <w:t xml:space="preserve">ta mieszanka paszowa uzupełniająca </w:t>
      </w:r>
      <w:r w:rsidR="00B30325">
        <w:rPr>
          <w:lang w:val="pl-PL"/>
        </w:rPr>
        <w:t xml:space="preserve">w porównaniu z paszą podstawową powinna być podawana w ilości co najmniej od 0,4% do maksymalnie 2,0% dziennej dawki pokarmowej. </w:t>
      </w:r>
    </w:p>
    <w:p w14:paraId="21C1F997" w14:textId="77777777" w:rsidR="00F24B64" w:rsidRPr="001B3688" w:rsidRDefault="00F24B64" w:rsidP="00DE607A">
      <w:pPr>
        <w:pStyle w:val="Tekstpodstawowy"/>
        <w:spacing w:line="271" w:lineRule="auto"/>
        <w:ind w:left="111" w:right="261"/>
        <w:rPr>
          <w:lang w:val="pl-PL"/>
        </w:rPr>
      </w:pPr>
    </w:p>
    <w:p w14:paraId="2990C895" w14:textId="77777777" w:rsidR="00F24B64" w:rsidRPr="001B3688" w:rsidRDefault="00EF60D5" w:rsidP="00DE607A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Skład</w:t>
      </w:r>
      <w:r w:rsidR="00F24B64" w:rsidRPr="001B3688">
        <w:rPr>
          <w:b/>
          <w:lang w:val="pl-PL"/>
        </w:rPr>
        <w:t xml:space="preserve">: </w:t>
      </w:r>
    </w:p>
    <w:p w14:paraId="326BD4D8" w14:textId="77777777" w:rsidR="00F24B64" w:rsidRDefault="00721D60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Olej</w:t>
      </w:r>
      <w:r w:rsidR="00B30325">
        <w:rPr>
          <w:lang w:val="pl-PL"/>
        </w:rPr>
        <w:t xml:space="preserve"> słonecznikowy 54,3%, dekstroza</w:t>
      </w:r>
      <w:r w:rsidR="00580FCE">
        <w:rPr>
          <w:lang w:val="pl-PL"/>
        </w:rPr>
        <w:t>*</w:t>
      </w:r>
      <w:r w:rsidR="00B30325">
        <w:rPr>
          <w:lang w:val="pl-PL"/>
        </w:rPr>
        <w:t xml:space="preserve"> 8,0%, drożdże (suche) 8,0%</w:t>
      </w:r>
      <w:r w:rsidR="00580FCE">
        <w:rPr>
          <w:lang w:val="pl-PL"/>
        </w:rPr>
        <w:t>, chlorek sodu 4,0%, chlorek potasu 2,4%</w:t>
      </w:r>
      <w:r w:rsidR="00771AD9">
        <w:rPr>
          <w:lang w:val="pl-PL"/>
        </w:rPr>
        <w:t>.</w:t>
      </w:r>
    </w:p>
    <w:p w14:paraId="6DD13EB4" w14:textId="77777777" w:rsidR="00580FCE" w:rsidRPr="001B3688" w:rsidRDefault="00580FCE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*źródło łatwo przyswajalnych węglowodanów</w:t>
      </w:r>
    </w:p>
    <w:p w14:paraId="0F5F703C" w14:textId="77777777" w:rsidR="00F24B64" w:rsidRPr="001B3688" w:rsidRDefault="00F24B64" w:rsidP="00DE607A">
      <w:pPr>
        <w:pStyle w:val="Tekstpodstawowy"/>
        <w:spacing w:line="271" w:lineRule="auto"/>
        <w:ind w:left="111" w:right="261"/>
        <w:rPr>
          <w:b/>
          <w:lang w:val="pl-PL"/>
        </w:rPr>
      </w:pPr>
    </w:p>
    <w:p w14:paraId="5B61768D" w14:textId="77777777" w:rsidR="00F24B64" w:rsidRPr="001B3688" w:rsidRDefault="0082112D" w:rsidP="00DE607A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Składniki</w:t>
      </w:r>
      <w:r w:rsidR="00EA4305">
        <w:rPr>
          <w:b/>
          <w:lang w:val="pl-PL"/>
        </w:rPr>
        <w:t xml:space="preserve"> analityczne</w:t>
      </w:r>
      <w:r w:rsidR="00F24B64" w:rsidRPr="001B3688">
        <w:rPr>
          <w:b/>
          <w:lang w:val="pl-PL"/>
        </w:rPr>
        <w:t>:</w:t>
      </w:r>
    </w:p>
    <w:p w14:paraId="450DE75F" w14:textId="77777777" w:rsidR="00F24B64" w:rsidRPr="001B3688" w:rsidRDefault="006A5CCB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Białko surowe</w:t>
      </w:r>
      <w:r w:rsidR="00F24B64" w:rsidRPr="001B3688">
        <w:rPr>
          <w:lang w:val="pl-PL"/>
        </w:rPr>
        <w:tab/>
      </w:r>
      <w:r w:rsidR="00F24B64" w:rsidRPr="001B3688">
        <w:rPr>
          <w:lang w:val="pl-PL"/>
        </w:rPr>
        <w:tab/>
      </w:r>
      <w:r w:rsidR="009360E9">
        <w:rPr>
          <w:lang w:val="pl-PL"/>
        </w:rPr>
        <w:tab/>
      </w:r>
      <w:r w:rsidR="00580FCE">
        <w:rPr>
          <w:lang w:val="pl-PL"/>
        </w:rPr>
        <w:t>3,5</w:t>
      </w:r>
      <w:r w:rsidR="00F24B64" w:rsidRPr="001B3688">
        <w:rPr>
          <w:lang w:val="pl-PL"/>
        </w:rPr>
        <w:t>%</w:t>
      </w:r>
    </w:p>
    <w:p w14:paraId="417213C9" w14:textId="77777777" w:rsidR="00F24B64" w:rsidRPr="001B3688" w:rsidRDefault="006A5CCB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Tłuszcz surowy</w:t>
      </w:r>
      <w:r w:rsidR="00F24B64" w:rsidRPr="001B3688">
        <w:rPr>
          <w:lang w:val="pl-PL"/>
        </w:rPr>
        <w:tab/>
      </w:r>
      <w:r w:rsidR="009360E9">
        <w:rPr>
          <w:lang w:val="pl-PL"/>
        </w:rPr>
        <w:tab/>
      </w:r>
      <w:r w:rsidR="00580FCE">
        <w:rPr>
          <w:lang w:val="pl-PL"/>
        </w:rPr>
        <w:t>58,6</w:t>
      </w:r>
      <w:r w:rsidR="00F24B64" w:rsidRPr="001B3688">
        <w:rPr>
          <w:lang w:val="pl-PL"/>
        </w:rPr>
        <w:t>%</w:t>
      </w:r>
    </w:p>
    <w:p w14:paraId="506DCB8D" w14:textId="77777777" w:rsidR="00F24B64" w:rsidRPr="001B3688" w:rsidRDefault="006A5CCB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Włókno surowe</w:t>
      </w:r>
      <w:r w:rsidR="00F24B64" w:rsidRPr="001B3688">
        <w:rPr>
          <w:lang w:val="pl-PL"/>
        </w:rPr>
        <w:tab/>
      </w:r>
      <w:r w:rsidR="009360E9">
        <w:rPr>
          <w:lang w:val="pl-PL"/>
        </w:rPr>
        <w:tab/>
      </w:r>
      <w:r w:rsidR="0082112D" w:rsidRPr="001B3688">
        <w:rPr>
          <w:lang w:val="pl-PL"/>
        </w:rPr>
        <w:t>0,</w:t>
      </w:r>
      <w:r w:rsidR="00580FCE">
        <w:rPr>
          <w:lang w:val="pl-PL"/>
        </w:rPr>
        <w:t>2</w:t>
      </w:r>
      <w:r w:rsidR="00F24B64" w:rsidRPr="001B3688">
        <w:rPr>
          <w:lang w:val="pl-PL"/>
        </w:rPr>
        <w:t>%</w:t>
      </w:r>
    </w:p>
    <w:p w14:paraId="1F26CFA5" w14:textId="77777777" w:rsidR="00F24B64" w:rsidRDefault="006A5CCB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 xml:space="preserve">Popiół surowy   </w:t>
      </w:r>
      <w:r w:rsidR="00F24B64" w:rsidRPr="001B3688">
        <w:rPr>
          <w:lang w:val="pl-PL"/>
        </w:rPr>
        <w:tab/>
      </w:r>
      <w:r w:rsidR="009360E9">
        <w:rPr>
          <w:lang w:val="pl-PL"/>
        </w:rPr>
        <w:tab/>
      </w:r>
      <w:r w:rsidR="00580FCE">
        <w:rPr>
          <w:lang w:val="pl-PL"/>
        </w:rPr>
        <w:t>11,5</w:t>
      </w:r>
      <w:r w:rsidR="00F24B64" w:rsidRPr="001B3688">
        <w:rPr>
          <w:lang w:val="pl-PL"/>
        </w:rPr>
        <w:t>%</w:t>
      </w:r>
    </w:p>
    <w:p w14:paraId="2EF8A43D" w14:textId="77777777" w:rsidR="006A5CCB" w:rsidRDefault="006A5CCB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Sód</w:t>
      </w:r>
      <w:r w:rsidR="009360E9">
        <w:rPr>
          <w:lang w:val="pl-PL"/>
        </w:rPr>
        <w:tab/>
      </w:r>
      <w:r w:rsidR="009360E9">
        <w:rPr>
          <w:lang w:val="pl-PL"/>
        </w:rPr>
        <w:tab/>
      </w:r>
      <w:r w:rsidR="009360E9">
        <w:rPr>
          <w:lang w:val="pl-PL"/>
        </w:rPr>
        <w:tab/>
      </w:r>
      <w:r w:rsidR="009360E9">
        <w:rPr>
          <w:lang w:val="pl-PL"/>
        </w:rPr>
        <w:tab/>
      </w:r>
      <w:r>
        <w:rPr>
          <w:lang w:val="pl-PL"/>
        </w:rPr>
        <w:t>1</w:t>
      </w:r>
      <w:r w:rsidR="00580FCE">
        <w:rPr>
          <w:lang w:val="pl-PL"/>
        </w:rPr>
        <w:t>,5</w:t>
      </w:r>
      <w:r>
        <w:rPr>
          <w:lang w:val="pl-PL"/>
        </w:rPr>
        <w:t>%</w:t>
      </w:r>
    </w:p>
    <w:p w14:paraId="13C193F3" w14:textId="77777777" w:rsidR="00580FCE" w:rsidRDefault="00580FCE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Potas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1,3%</w:t>
      </w:r>
    </w:p>
    <w:p w14:paraId="04559850" w14:textId="77777777" w:rsidR="00580FCE" w:rsidRDefault="00580FCE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Chlorki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3,5%</w:t>
      </w:r>
    </w:p>
    <w:p w14:paraId="62C0F007" w14:textId="77777777" w:rsidR="009A75BC" w:rsidRDefault="009A75BC">
      <w:pPr>
        <w:spacing w:after="0" w:line="240" w:lineRule="auto"/>
        <w:rPr>
          <w:rFonts w:ascii="Arial" w:eastAsia="Arial" w:hAnsi="Arial" w:cs="Arial"/>
          <w:sz w:val="20"/>
          <w:szCs w:val="20"/>
          <w:lang w:val="pl-PL"/>
        </w:rPr>
      </w:pPr>
    </w:p>
    <w:p w14:paraId="1EC53AE0" w14:textId="77777777" w:rsidR="00F24B64" w:rsidRPr="001B3688" w:rsidRDefault="00F24B64" w:rsidP="009D4BF2">
      <w:pPr>
        <w:pStyle w:val="Tekstpodstawowy"/>
        <w:spacing w:line="271" w:lineRule="auto"/>
        <w:ind w:right="261"/>
        <w:rPr>
          <w:lang w:val="pl-PL"/>
        </w:rPr>
      </w:pPr>
    </w:p>
    <w:p w14:paraId="0F70604C" w14:textId="77777777" w:rsidR="00F24B64" w:rsidRPr="001B3688" w:rsidRDefault="001B3688" w:rsidP="00DE607A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Dodatki w przeliczeniu na kg</w:t>
      </w:r>
      <w:r w:rsidR="00F24B64" w:rsidRPr="001B3688">
        <w:rPr>
          <w:b/>
          <w:lang w:val="pl-PL"/>
        </w:rPr>
        <w:t>:</w:t>
      </w:r>
    </w:p>
    <w:p w14:paraId="652AEA92" w14:textId="77777777" w:rsidR="000E26C7" w:rsidRDefault="000E26C7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Dodatki dietetyczne (3 a):</w:t>
      </w:r>
    </w:p>
    <w:p w14:paraId="3A75CE43" w14:textId="77777777" w:rsidR="00580FCE" w:rsidRDefault="00580FCE" w:rsidP="00DE607A">
      <w:pPr>
        <w:pStyle w:val="Tekstpodstawowy"/>
        <w:spacing w:line="271" w:lineRule="auto"/>
        <w:ind w:left="111" w:right="261"/>
        <w:rPr>
          <w:lang w:val="pl-PL"/>
        </w:rPr>
      </w:pPr>
      <w:r w:rsidRPr="00580FCE">
        <w:rPr>
          <w:lang w:val="pl-PL"/>
        </w:rPr>
        <w:t xml:space="preserve">Witamina E (octan </w:t>
      </w:r>
      <w:proofErr w:type="spellStart"/>
      <w:r w:rsidRPr="00580FCE">
        <w:rPr>
          <w:lang w:val="pl-PL"/>
        </w:rPr>
        <w:t>all</w:t>
      </w:r>
      <w:proofErr w:type="spellEnd"/>
      <w:r w:rsidRPr="00580FCE">
        <w:rPr>
          <w:lang w:val="pl-PL"/>
        </w:rPr>
        <w:t>-rac-α-tokoferolu, 3a 700)</w:t>
      </w:r>
      <w:r w:rsidRPr="00580FCE">
        <w:rPr>
          <w:lang w:val="pl-PL"/>
        </w:rPr>
        <w:tab/>
      </w:r>
      <w:r w:rsidR="00DD0948">
        <w:rPr>
          <w:lang w:val="pl-PL"/>
        </w:rPr>
        <w:tab/>
      </w:r>
      <w:r w:rsidR="00DD0948">
        <w:rPr>
          <w:lang w:val="pl-PL"/>
        </w:rPr>
        <w:tab/>
      </w:r>
      <w:r w:rsidR="00DD0948">
        <w:rPr>
          <w:lang w:val="pl-PL"/>
        </w:rPr>
        <w:tab/>
      </w:r>
      <w:r w:rsidRPr="00580FCE">
        <w:rPr>
          <w:lang w:val="pl-PL"/>
        </w:rPr>
        <w:t>1.</w:t>
      </w:r>
      <w:r>
        <w:rPr>
          <w:lang w:val="pl-PL"/>
        </w:rPr>
        <w:t>00</w:t>
      </w:r>
      <w:r w:rsidRPr="00580FCE">
        <w:rPr>
          <w:lang w:val="pl-PL"/>
        </w:rPr>
        <w:t>0 mg</w:t>
      </w:r>
    </w:p>
    <w:p w14:paraId="5476B768" w14:textId="77777777" w:rsidR="00580FCE" w:rsidRDefault="00580FCE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 xml:space="preserve">Witamina B1 </w:t>
      </w:r>
      <w:r w:rsidR="00DD0948">
        <w:rPr>
          <w:lang w:val="pl-PL"/>
        </w:rPr>
        <w:t>jako chlorowodorek tiaminy</w:t>
      </w:r>
      <w:r w:rsidR="00DD0948">
        <w:rPr>
          <w:lang w:val="pl-PL"/>
        </w:rPr>
        <w:tab/>
      </w:r>
      <w:r w:rsidR="00DD0948">
        <w:rPr>
          <w:lang w:val="pl-PL"/>
        </w:rPr>
        <w:tab/>
      </w:r>
      <w:r w:rsidR="00DD0948">
        <w:rPr>
          <w:lang w:val="pl-PL"/>
        </w:rPr>
        <w:tab/>
      </w:r>
      <w:r w:rsidR="00DD0948">
        <w:rPr>
          <w:lang w:val="pl-PL"/>
        </w:rPr>
        <w:tab/>
      </w:r>
      <w:r w:rsidR="00DD0948">
        <w:rPr>
          <w:lang w:val="pl-PL"/>
        </w:rPr>
        <w:tab/>
        <w:t>400 mg</w:t>
      </w:r>
    </w:p>
    <w:p w14:paraId="6966ED2A" w14:textId="77777777" w:rsidR="00DD0948" w:rsidRDefault="00DD0948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 xml:space="preserve">Witamina B2 jako </w:t>
      </w:r>
      <w:proofErr w:type="spellStart"/>
      <w:r>
        <w:rPr>
          <w:lang w:val="pl-PL"/>
        </w:rPr>
        <w:t>monosodowa</w:t>
      </w:r>
      <w:proofErr w:type="spellEnd"/>
      <w:r>
        <w:rPr>
          <w:lang w:val="pl-PL"/>
        </w:rPr>
        <w:t xml:space="preserve"> sól 5’-monofosforanowego estru ryboflawiny</w:t>
      </w:r>
      <w:r>
        <w:rPr>
          <w:lang w:val="pl-PL"/>
        </w:rPr>
        <w:tab/>
        <w:t>400 mg</w:t>
      </w:r>
    </w:p>
    <w:p w14:paraId="2CA5630A" w14:textId="77777777" w:rsidR="00DD0948" w:rsidRDefault="00DD0948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Witamina B6 (chlorowodorek pirydoksyny, 3a831)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100 mg</w:t>
      </w:r>
    </w:p>
    <w:p w14:paraId="5FD536FF" w14:textId="77777777" w:rsidR="00DD0948" w:rsidRDefault="00DD0948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Witamina B12 jako cyjanokobalamina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5000µg</w:t>
      </w:r>
    </w:p>
    <w:p w14:paraId="11ABAF9A" w14:textId="77777777" w:rsidR="00B1236B" w:rsidRDefault="00B1236B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Dodatki sensoryczne (2 b)</w:t>
      </w:r>
      <w:r w:rsidR="00276541">
        <w:rPr>
          <w:lang w:val="pl-PL"/>
        </w:rPr>
        <w:t>:</w:t>
      </w:r>
    </w:p>
    <w:p w14:paraId="027C6E0E" w14:textId="77777777" w:rsidR="00276541" w:rsidRDefault="00677B9F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 xml:space="preserve">Ekstrakt z </w:t>
      </w:r>
      <w:proofErr w:type="spellStart"/>
      <w:r w:rsidR="00AB5FAE" w:rsidRPr="00AB5FAE">
        <w:rPr>
          <w:i/>
          <w:lang w:val="pl-PL"/>
        </w:rPr>
        <w:t>Castanea</w:t>
      </w:r>
      <w:proofErr w:type="spellEnd"/>
      <w:r w:rsidR="00AB5FAE" w:rsidRPr="00AB5FAE">
        <w:rPr>
          <w:i/>
          <w:lang w:val="pl-PL"/>
        </w:rPr>
        <w:t xml:space="preserve"> </w:t>
      </w:r>
      <w:proofErr w:type="spellStart"/>
      <w:r w:rsidR="00AB5FAE" w:rsidRPr="00AB5FAE">
        <w:rPr>
          <w:i/>
          <w:lang w:val="pl-PL"/>
        </w:rPr>
        <w:t>sativa</w:t>
      </w:r>
      <w:proofErr w:type="spellEnd"/>
      <w:r w:rsidR="00AB5FAE" w:rsidRPr="00AB5FAE">
        <w:rPr>
          <w:i/>
          <w:lang w:val="pl-PL"/>
        </w:rPr>
        <w:t xml:space="preserve"> </w:t>
      </w:r>
      <w:proofErr w:type="spellStart"/>
      <w:r w:rsidR="00AB5FAE" w:rsidRPr="00AB5FAE">
        <w:rPr>
          <w:i/>
          <w:lang w:val="pl-PL"/>
        </w:rPr>
        <w:t>mill</w:t>
      </w:r>
      <w:proofErr w:type="spellEnd"/>
      <w:r w:rsidR="00AB5FAE">
        <w:rPr>
          <w:i/>
          <w:lang w:val="pl-PL"/>
        </w:rPr>
        <w:tab/>
      </w:r>
      <w:r w:rsidR="00AB5FAE">
        <w:rPr>
          <w:i/>
          <w:lang w:val="pl-PL"/>
        </w:rPr>
        <w:tab/>
      </w:r>
      <w:r w:rsidR="00AB5FAE">
        <w:rPr>
          <w:i/>
          <w:lang w:val="pl-PL"/>
        </w:rPr>
        <w:tab/>
      </w:r>
      <w:r w:rsidR="00AB5FAE">
        <w:rPr>
          <w:i/>
          <w:lang w:val="pl-PL"/>
        </w:rPr>
        <w:tab/>
      </w:r>
      <w:r w:rsidR="00AB5FAE">
        <w:rPr>
          <w:i/>
          <w:lang w:val="pl-PL"/>
        </w:rPr>
        <w:tab/>
      </w:r>
      <w:r w:rsidR="00AB5FAE">
        <w:rPr>
          <w:i/>
          <w:lang w:val="pl-PL"/>
        </w:rPr>
        <w:tab/>
      </w:r>
      <w:r w:rsidR="00AB5FAE">
        <w:rPr>
          <w:lang w:val="pl-PL"/>
        </w:rPr>
        <w:t>100.000 mg</w:t>
      </w:r>
    </w:p>
    <w:p w14:paraId="7A96D105" w14:textId="77777777" w:rsidR="00AB5FAE" w:rsidRDefault="00AB5FAE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Dodatki zootechniczne (4 b):</w:t>
      </w:r>
    </w:p>
    <w:p w14:paraId="06DDA708" w14:textId="77777777" w:rsidR="00F24B64" w:rsidRPr="001A2906" w:rsidRDefault="00AB5FAE" w:rsidP="001A2906">
      <w:pPr>
        <w:pStyle w:val="Tekstpodstawowy"/>
        <w:spacing w:line="271" w:lineRule="auto"/>
        <w:ind w:left="111" w:right="261"/>
        <w:rPr>
          <w:lang w:val="en-GB"/>
        </w:rPr>
      </w:pPr>
      <w:r w:rsidRPr="00AB5FAE">
        <w:rPr>
          <w:color w:val="000000"/>
          <w:shd w:val="clear" w:color="auto" w:fill="FFFFFF"/>
        </w:rPr>
        <w:t xml:space="preserve">200 x 10⁹ KBE/kg </w:t>
      </w:r>
      <w:r w:rsidRPr="00AB5FAE">
        <w:rPr>
          <w:i/>
          <w:iCs/>
          <w:color w:val="000000"/>
          <w:shd w:val="clear" w:color="auto" w:fill="FFFFFF"/>
        </w:rPr>
        <w:t>Saccharomyces cerevisiae</w:t>
      </w:r>
      <w:r w:rsidRPr="00AB5FAE">
        <w:rPr>
          <w:color w:val="000000"/>
          <w:shd w:val="clear" w:color="auto" w:fill="FFFFFF"/>
        </w:rPr>
        <w:t> NCYC Sc 47 (4b1702</w:t>
      </w:r>
      <w:r>
        <w:rPr>
          <w:color w:val="000000"/>
          <w:sz w:val="17"/>
          <w:szCs w:val="17"/>
          <w:shd w:val="clear" w:color="auto" w:fill="FFFFFF"/>
        </w:rPr>
        <w:t>)</w:t>
      </w:r>
      <w:r>
        <w:br w:type="page"/>
      </w:r>
      <w:bookmarkStart w:id="0" w:name="_GoBack"/>
      <w:bookmarkEnd w:id="0"/>
    </w:p>
    <w:p w14:paraId="005D8BD7" w14:textId="77777777" w:rsidR="00F24B64" w:rsidRPr="001B3688" w:rsidRDefault="0082112D" w:rsidP="00DE607A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lastRenderedPageBreak/>
        <w:t>Opakowanie</w:t>
      </w:r>
      <w:r w:rsidR="00F24B64" w:rsidRPr="001B3688">
        <w:rPr>
          <w:b/>
          <w:lang w:val="pl-PL"/>
        </w:rPr>
        <w:t xml:space="preserve">: </w:t>
      </w:r>
    </w:p>
    <w:p w14:paraId="1FCA77D9" w14:textId="77777777" w:rsidR="00F24B64" w:rsidRDefault="000E26C7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 xml:space="preserve">Strzykawka </w:t>
      </w:r>
      <w:r w:rsidR="00AF6863">
        <w:rPr>
          <w:lang w:val="pl-PL"/>
        </w:rPr>
        <w:t>6</w:t>
      </w:r>
      <w:r>
        <w:rPr>
          <w:lang w:val="pl-PL"/>
        </w:rPr>
        <w:t>0 ml</w:t>
      </w:r>
      <w:r w:rsidR="00F24B64" w:rsidRPr="001B3688">
        <w:rPr>
          <w:lang w:val="pl-PL"/>
        </w:rPr>
        <w:t>.</w:t>
      </w:r>
    </w:p>
    <w:p w14:paraId="356470EA" w14:textId="77777777" w:rsidR="00AF6863" w:rsidRDefault="00AF6863">
      <w:pPr>
        <w:spacing w:after="0" w:line="240" w:lineRule="auto"/>
        <w:rPr>
          <w:rFonts w:ascii="Arial" w:eastAsia="Arial" w:hAnsi="Arial" w:cs="Arial"/>
          <w:sz w:val="20"/>
          <w:szCs w:val="20"/>
          <w:lang w:val="pl-PL"/>
        </w:rPr>
      </w:pPr>
    </w:p>
    <w:p w14:paraId="694C81E5" w14:textId="77777777" w:rsidR="00014DF0" w:rsidRDefault="00014DF0" w:rsidP="00DE607A">
      <w:pPr>
        <w:pStyle w:val="Tekstpodstawowy"/>
        <w:spacing w:line="271" w:lineRule="auto"/>
        <w:ind w:left="111" w:right="261"/>
        <w:rPr>
          <w:lang w:val="pl-PL"/>
        </w:rPr>
      </w:pPr>
    </w:p>
    <w:p w14:paraId="37201392" w14:textId="77777777" w:rsidR="00014DF0" w:rsidRPr="00014DF0" w:rsidRDefault="00014DF0" w:rsidP="00DE607A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014DF0">
        <w:rPr>
          <w:b/>
          <w:lang w:val="pl-PL"/>
        </w:rPr>
        <w:t>Przechowywanie:</w:t>
      </w:r>
    </w:p>
    <w:p w14:paraId="649B98A9" w14:textId="77777777" w:rsidR="00014DF0" w:rsidRPr="001B3688" w:rsidRDefault="00014DF0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Należy przechowywać w chłodnym miejscu (maks. 20°C), chronić przed światłem oraz zamarznięciem! Brak odpowiedzialności w przypadku nieprawidłowego obchodzenia się z produktem i jego przechowywania. Przed użyciem ogrzać produkt do 15-20°C.</w:t>
      </w:r>
    </w:p>
    <w:p w14:paraId="403C7651" w14:textId="77777777" w:rsidR="000E26C7" w:rsidRDefault="000E26C7">
      <w:pPr>
        <w:spacing w:after="0" w:line="240" w:lineRule="auto"/>
        <w:rPr>
          <w:rFonts w:ascii="Arial" w:eastAsia="Arial" w:hAnsi="Arial" w:cs="Arial"/>
          <w:sz w:val="20"/>
          <w:szCs w:val="20"/>
          <w:lang w:val="pl-PL"/>
        </w:rPr>
      </w:pPr>
    </w:p>
    <w:p w14:paraId="6A93E2FB" w14:textId="77777777" w:rsidR="00481807" w:rsidRPr="00AF6863" w:rsidRDefault="00481807" w:rsidP="00E50352">
      <w:pPr>
        <w:pStyle w:val="Tekstpodstawowy"/>
        <w:spacing w:line="271" w:lineRule="auto"/>
        <w:ind w:right="261"/>
        <w:rPr>
          <w:lang w:val="pl-PL"/>
        </w:rPr>
      </w:pPr>
    </w:p>
    <w:p w14:paraId="4677A40E" w14:textId="77777777" w:rsidR="00481807" w:rsidRPr="001B3688" w:rsidRDefault="00F24B64" w:rsidP="00DE607A">
      <w:pPr>
        <w:pStyle w:val="Tekstpodstawowy"/>
        <w:spacing w:line="271" w:lineRule="auto"/>
        <w:ind w:left="111" w:right="261"/>
        <w:rPr>
          <w:lang w:val="pl-PL"/>
        </w:rPr>
      </w:pPr>
      <w:r w:rsidRPr="001B3688">
        <w:rPr>
          <w:lang w:val="pl-PL"/>
        </w:rPr>
        <w:t xml:space="preserve">LIVISTO </w:t>
      </w:r>
      <w:r w:rsidR="00481807" w:rsidRPr="001B3688">
        <w:rPr>
          <w:lang w:val="pl-PL"/>
        </w:rPr>
        <w:t>Sp. z o.o.</w:t>
      </w:r>
    </w:p>
    <w:p w14:paraId="76DD8400" w14:textId="77777777" w:rsidR="00481807" w:rsidRPr="001B3688" w:rsidRDefault="00481807" w:rsidP="00DE607A">
      <w:pPr>
        <w:pStyle w:val="Tekstpodstawowy"/>
        <w:spacing w:line="271" w:lineRule="auto"/>
        <w:ind w:left="111" w:right="261"/>
        <w:rPr>
          <w:lang w:val="pl-PL"/>
        </w:rPr>
      </w:pPr>
      <w:r w:rsidRPr="001B3688">
        <w:rPr>
          <w:lang w:val="pl-PL"/>
        </w:rPr>
        <w:t>ul. Chwaszc</w:t>
      </w:r>
      <w:r w:rsidR="001B3688">
        <w:rPr>
          <w:lang w:val="pl-PL"/>
        </w:rPr>
        <w:t>z</w:t>
      </w:r>
      <w:r w:rsidRPr="001B3688">
        <w:rPr>
          <w:lang w:val="pl-PL"/>
        </w:rPr>
        <w:t>yńska 198a</w:t>
      </w:r>
    </w:p>
    <w:p w14:paraId="2B1DE8D1" w14:textId="77777777" w:rsidR="00481807" w:rsidRPr="001B3688" w:rsidRDefault="00481807" w:rsidP="009D4BF2">
      <w:pPr>
        <w:pStyle w:val="Tekstpodstawowy"/>
        <w:spacing w:line="271" w:lineRule="auto"/>
        <w:ind w:left="111" w:right="261"/>
        <w:rPr>
          <w:lang w:val="pl-PL"/>
        </w:rPr>
      </w:pPr>
      <w:r w:rsidRPr="001B3688">
        <w:rPr>
          <w:lang w:val="pl-PL"/>
        </w:rPr>
        <w:t>81-571 Gdynia</w:t>
      </w:r>
    </w:p>
    <w:p w14:paraId="3579544C" w14:textId="77777777" w:rsidR="002E7A35" w:rsidRPr="001B3688" w:rsidRDefault="00F24B64" w:rsidP="002975D0">
      <w:pPr>
        <w:pStyle w:val="Tekstpodstawowy"/>
        <w:spacing w:line="271" w:lineRule="auto"/>
        <w:ind w:left="111" w:right="261"/>
        <w:rPr>
          <w:lang w:val="pl-PL"/>
        </w:rPr>
      </w:pPr>
      <w:r w:rsidRPr="00107D5D">
        <w:sym w:font="Symbol" w:char="F061"/>
      </w:r>
      <w:r w:rsidR="001B3688" w:rsidRPr="001B3688">
        <w:rPr>
          <w:lang w:val="pl-PL"/>
        </w:rPr>
        <w:t>PL</w:t>
      </w:r>
      <w:r w:rsidR="001B3688">
        <w:rPr>
          <w:lang w:val="pl-PL"/>
        </w:rPr>
        <w:t xml:space="preserve"> 2262026p</w:t>
      </w:r>
    </w:p>
    <w:sectPr w:rsidR="002E7A35" w:rsidRPr="001B3688" w:rsidSect="0042233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426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85B20" w14:textId="77777777" w:rsidR="00E65990" w:rsidRDefault="00E65990">
      <w:r>
        <w:separator/>
      </w:r>
    </w:p>
  </w:endnote>
  <w:endnote w:type="continuationSeparator" w:id="0">
    <w:p w14:paraId="540ED1F1" w14:textId="77777777" w:rsidR="00E65990" w:rsidRDefault="00E6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73CC1" w14:textId="77777777" w:rsidR="00DD0948" w:rsidRDefault="00DD0948" w:rsidP="00422331">
    <w:pPr>
      <w:pStyle w:val="Stopka"/>
      <w:spacing w:line="360" w:lineRule="auto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  <w:lang w:val="de-DE" w:eastAsia="de-DE"/>
      </w:rPr>
      <w:drawing>
        <wp:anchor distT="0" distB="0" distL="114300" distR="114300" simplePos="0" relativeHeight="251667968" behindDoc="0" locked="0" layoutInCell="1" allowOverlap="1" wp14:anchorId="5B7A68DE" wp14:editId="0215F122">
          <wp:simplePos x="0" y="0"/>
          <wp:positionH relativeFrom="column">
            <wp:posOffset>-181293</wp:posOffset>
          </wp:positionH>
          <wp:positionV relativeFrom="paragraph">
            <wp:posOffset>115570</wp:posOffset>
          </wp:positionV>
          <wp:extent cx="1634400" cy="49657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isto_Claim_Office_R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49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2AA9A" w14:textId="77777777" w:rsidR="00DD0948" w:rsidRDefault="00DD0948" w:rsidP="00C44AB2">
    <w:pPr>
      <w:pStyle w:val="Stopka"/>
      <w:spacing w:after="0" w:line="240" w:lineRule="auto"/>
      <w:ind w:left="4395" w:right="-569"/>
      <w:rPr>
        <w:rFonts w:ascii="Arial" w:hAnsi="Arial" w:cs="Arial"/>
        <w:color w:val="E1003A"/>
        <w:sz w:val="16"/>
        <w:szCs w:val="16"/>
        <w:lang w:val="en-US"/>
      </w:rPr>
    </w:pPr>
    <w:r>
      <w:rPr>
        <w:rFonts w:ascii="Arial" w:hAnsi="Arial" w:cs="Arial"/>
        <w:color w:val="E1003A"/>
        <w:sz w:val="16"/>
        <w:szCs w:val="16"/>
        <w:lang w:val="en-US"/>
      </w:rPr>
      <w:tab/>
    </w:r>
    <w:r>
      <w:rPr>
        <w:rFonts w:ascii="Arial" w:hAnsi="Arial" w:cs="Arial"/>
        <w:color w:val="E1003A"/>
        <w:sz w:val="16"/>
        <w:szCs w:val="16"/>
        <w:lang w:val="en-US"/>
      </w:rPr>
      <w:tab/>
    </w:r>
    <w:r>
      <w:rPr>
        <w:rFonts w:ascii="Arial" w:hAnsi="Arial" w:cs="Arial"/>
        <w:color w:val="E1003A"/>
        <w:sz w:val="16"/>
        <w:szCs w:val="16"/>
        <w:lang w:val="en-US"/>
      </w:rPr>
      <w:tab/>
      <w:t>livisto.com</w:t>
    </w:r>
  </w:p>
  <w:p w14:paraId="1CD7C4C4" w14:textId="77777777" w:rsidR="00DD0948" w:rsidRPr="00422331" w:rsidRDefault="00DD0948" w:rsidP="00422331">
    <w:pPr>
      <w:pStyle w:val="Stopka"/>
      <w:spacing w:after="0" w:line="240" w:lineRule="auto"/>
      <w:jc w:val="right"/>
      <w:rPr>
        <w:rFonts w:ascii="Arial" w:hAnsi="Arial" w:cs="Arial"/>
        <w:color w:val="E1003A"/>
        <w:sz w:val="16"/>
        <w:szCs w:val="16"/>
      </w:rPr>
    </w:pPr>
  </w:p>
  <w:p w14:paraId="1CA45F7C" w14:textId="77777777" w:rsidR="00DD0948" w:rsidRPr="00422331" w:rsidRDefault="00DD0948" w:rsidP="00FA23C5">
    <w:pPr>
      <w:pStyle w:val="Stopka"/>
      <w:spacing w:after="0" w:line="240" w:lineRule="auto"/>
      <w:ind w:left="4395"/>
      <w:rPr>
        <w:rFonts w:ascii="Arial" w:hAnsi="Arial" w:cs="Arial"/>
        <w:color w:val="000000" w:themeColor="text1"/>
        <w:sz w:val="16"/>
        <w:szCs w:val="16"/>
      </w:rPr>
    </w:pPr>
    <w:proofErr w:type="spellStart"/>
    <w:r>
      <w:rPr>
        <w:rStyle w:val="Numerstrony"/>
        <w:rFonts w:ascii="Arial" w:hAnsi="Arial" w:cs="Arial"/>
        <w:color w:val="000000" w:themeColor="text1"/>
        <w:sz w:val="16"/>
        <w:szCs w:val="16"/>
      </w:rPr>
      <w:t>Strona</w:t>
    </w:r>
    <w:proofErr w:type="spellEnd"/>
    <w:r>
      <w:rPr>
        <w:rStyle w:val="Numerstrony"/>
        <w:rFonts w:ascii="Arial" w:hAnsi="Arial" w:cs="Arial"/>
        <w:color w:val="000000" w:themeColor="text1"/>
        <w:sz w:val="16"/>
        <w:szCs w:val="16"/>
      </w:rPr>
      <w:t xml:space="preserve"> </w:t>
    </w:r>
    <w:r w:rsidRPr="00422331">
      <w:rPr>
        <w:rStyle w:val="Numerstrony"/>
        <w:rFonts w:ascii="Arial" w:hAnsi="Arial" w:cs="Arial"/>
        <w:color w:val="000000" w:themeColor="text1"/>
        <w:sz w:val="16"/>
        <w:szCs w:val="16"/>
      </w:rPr>
      <w:fldChar w:fldCharType="begin"/>
    </w:r>
    <w:r w:rsidRPr="00422331">
      <w:rPr>
        <w:rStyle w:val="Numerstrony"/>
        <w:rFonts w:ascii="Arial" w:hAnsi="Arial" w:cs="Arial"/>
        <w:color w:val="000000" w:themeColor="text1"/>
        <w:sz w:val="16"/>
        <w:szCs w:val="16"/>
      </w:rPr>
      <w:instrText xml:space="preserve"> PAGE </w:instrText>
    </w:r>
    <w:r w:rsidRPr="00422331">
      <w:rPr>
        <w:rStyle w:val="Numerstrony"/>
        <w:rFonts w:ascii="Arial" w:hAnsi="Arial" w:cs="Arial"/>
        <w:color w:val="000000" w:themeColor="text1"/>
        <w:sz w:val="16"/>
        <w:szCs w:val="16"/>
      </w:rPr>
      <w:fldChar w:fldCharType="separate"/>
    </w:r>
    <w:r w:rsidR="00127672">
      <w:rPr>
        <w:rStyle w:val="Numerstrony"/>
        <w:rFonts w:ascii="Arial" w:hAnsi="Arial" w:cs="Arial"/>
        <w:noProof/>
        <w:color w:val="000000" w:themeColor="text1"/>
        <w:sz w:val="16"/>
        <w:szCs w:val="16"/>
      </w:rPr>
      <w:t>2</w:t>
    </w:r>
    <w:r w:rsidRPr="00422331">
      <w:rPr>
        <w:rStyle w:val="Numerstrony"/>
        <w:rFonts w:ascii="Arial" w:hAnsi="Arial" w:cs="Arial"/>
        <w:color w:val="000000" w:themeColor="text1"/>
        <w:sz w:val="16"/>
        <w:szCs w:val="16"/>
      </w:rPr>
      <w:fldChar w:fldCharType="end"/>
    </w:r>
    <w:r w:rsidRPr="00422331">
      <w:rPr>
        <w:rStyle w:val="Numerstrony"/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Style w:val="Numerstrony"/>
        <w:rFonts w:ascii="Arial" w:hAnsi="Arial" w:cs="Arial"/>
        <w:color w:val="000000" w:themeColor="text1"/>
        <w:sz w:val="16"/>
        <w:szCs w:val="16"/>
      </w:rPr>
      <w:t xml:space="preserve">z </w:t>
    </w:r>
    <w:r w:rsidRPr="00422331">
      <w:rPr>
        <w:rStyle w:val="Numerstrony"/>
        <w:rFonts w:ascii="Arial" w:hAnsi="Arial" w:cs="Arial"/>
        <w:color w:val="000000" w:themeColor="text1"/>
        <w:sz w:val="16"/>
        <w:szCs w:val="16"/>
      </w:rPr>
      <w:fldChar w:fldCharType="begin"/>
    </w:r>
    <w:r w:rsidRPr="00422331">
      <w:rPr>
        <w:rStyle w:val="Numerstrony"/>
        <w:rFonts w:ascii="Arial" w:hAnsi="Arial" w:cs="Arial"/>
        <w:color w:val="000000" w:themeColor="text1"/>
        <w:sz w:val="16"/>
        <w:szCs w:val="16"/>
      </w:rPr>
      <w:instrText xml:space="preserve"> NUMPAGES </w:instrText>
    </w:r>
    <w:r w:rsidRPr="00422331">
      <w:rPr>
        <w:rStyle w:val="Numerstrony"/>
        <w:rFonts w:ascii="Arial" w:hAnsi="Arial" w:cs="Arial"/>
        <w:color w:val="000000" w:themeColor="text1"/>
        <w:sz w:val="16"/>
        <w:szCs w:val="16"/>
      </w:rPr>
      <w:fldChar w:fldCharType="separate"/>
    </w:r>
    <w:r w:rsidR="00127672">
      <w:rPr>
        <w:rStyle w:val="Numerstrony"/>
        <w:rFonts w:ascii="Arial" w:hAnsi="Arial" w:cs="Arial"/>
        <w:noProof/>
        <w:color w:val="000000" w:themeColor="text1"/>
        <w:sz w:val="16"/>
        <w:szCs w:val="16"/>
      </w:rPr>
      <w:t>2</w:t>
    </w:r>
    <w:r w:rsidRPr="00422331">
      <w:rPr>
        <w:rStyle w:val="Numerstrony"/>
        <w:rFonts w:ascii="Arial" w:hAnsi="Arial" w:cs="Arial"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B50CF" w14:textId="77777777" w:rsidR="00E65990" w:rsidRDefault="00E65990">
      <w:r>
        <w:separator/>
      </w:r>
    </w:p>
  </w:footnote>
  <w:footnote w:type="continuationSeparator" w:id="0">
    <w:p w14:paraId="2093C8FB" w14:textId="77777777" w:rsidR="00E65990" w:rsidRDefault="00E6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C32A9" w14:textId="77777777" w:rsidR="00DD0948" w:rsidRDefault="00E65990">
    <w:pPr>
      <w:pStyle w:val="Nagwek"/>
    </w:pPr>
    <w:r>
      <w:rPr>
        <w:noProof/>
      </w:rPr>
      <w:pict w14:anchorId="59D5AE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7670" o:spid="_x0000_s2050" type="#_x0000_t136" style="position:absolute;margin-left:0;margin-top:0;width:403.2pt;height:116.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LIVIS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43174" w14:textId="77777777" w:rsidR="00DD0948" w:rsidRDefault="00DD0948" w:rsidP="00422331">
    <w:pPr>
      <w:pStyle w:val="Nagwek"/>
      <w:spacing w:after="0" w:line="240" w:lineRule="auto"/>
      <w:ind w:left="-284"/>
    </w:pPr>
    <w:r>
      <w:rPr>
        <w:noProof/>
        <w:lang w:val="de-DE" w:eastAsia="de-DE"/>
      </w:rPr>
      <w:drawing>
        <wp:inline distT="0" distB="0" distL="0" distR="0" wp14:anchorId="7585C25C" wp14:editId="277E413A">
          <wp:extent cx="1635544" cy="10515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isto_Logo_Office_R_Red-S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109" cy="1051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BA00E4" w14:textId="77777777" w:rsidR="00DD0948" w:rsidRPr="00422331" w:rsidRDefault="00E65990" w:rsidP="00422331">
    <w:pPr>
      <w:pStyle w:val="Nagwek"/>
      <w:spacing w:after="0" w:line="240" w:lineRule="auto"/>
      <w:rPr>
        <w:b/>
        <w:sz w:val="32"/>
        <w:szCs w:val="32"/>
      </w:rPr>
    </w:pPr>
    <w:r>
      <w:rPr>
        <w:b/>
        <w:noProof/>
        <w:sz w:val="32"/>
        <w:szCs w:val="32"/>
      </w:rPr>
      <w:pict w14:anchorId="319927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7671" o:spid="_x0000_s2051" type="#_x0000_t136" style="position:absolute;margin-left:0;margin-top:0;width:403.2pt;height:116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LIVIS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B4D" w14:textId="77777777" w:rsidR="00DD0948" w:rsidRDefault="00E65990">
    <w:pPr>
      <w:pStyle w:val="Nagwek"/>
    </w:pPr>
    <w:r>
      <w:rPr>
        <w:noProof/>
      </w:rPr>
      <w:pict w14:anchorId="1ED048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7669" o:spid="_x0000_s2049" type="#_x0000_t136" style="position:absolute;margin-left:0;margin-top:0;width:403.2pt;height:116.4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LIVIS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B14D0"/>
    <w:multiLevelType w:val="hybridMultilevel"/>
    <w:tmpl w:val="63DA149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B2"/>
    <w:rsid w:val="00014DF0"/>
    <w:rsid w:val="00047A92"/>
    <w:rsid w:val="00050F48"/>
    <w:rsid w:val="000C2D25"/>
    <w:rsid w:val="000C719F"/>
    <w:rsid w:val="000E26C7"/>
    <w:rsid w:val="000E400B"/>
    <w:rsid w:val="000E40F1"/>
    <w:rsid w:val="00127672"/>
    <w:rsid w:val="001704CE"/>
    <w:rsid w:val="001811C4"/>
    <w:rsid w:val="00186378"/>
    <w:rsid w:val="001A2906"/>
    <w:rsid w:val="001B3688"/>
    <w:rsid w:val="001F681D"/>
    <w:rsid w:val="00202052"/>
    <w:rsid w:val="002048EE"/>
    <w:rsid w:val="00276541"/>
    <w:rsid w:val="00294773"/>
    <w:rsid w:val="002975D0"/>
    <w:rsid w:val="002B53ED"/>
    <w:rsid w:val="002E7A35"/>
    <w:rsid w:val="00301A71"/>
    <w:rsid w:val="00331E3C"/>
    <w:rsid w:val="003A1EE6"/>
    <w:rsid w:val="003B1113"/>
    <w:rsid w:val="003B576F"/>
    <w:rsid w:val="003C0CF9"/>
    <w:rsid w:val="003F7F70"/>
    <w:rsid w:val="0040152F"/>
    <w:rsid w:val="00422331"/>
    <w:rsid w:val="00481807"/>
    <w:rsid w:val="004A2D58"/>
    <w:rsid w:val="004C3A7E"/>
    <w:rsid w:val="00546814"/>
    <w:rsid w:val="00566114"/>
    <w:rsid w:val="00572298"/>
    <w:rsid w:val="00580FCE"/>
    <w:rsid w:val="00594C2C"/>
    <w:rsid w:val="005D7CE2"/>
    <w:rsid w:val="00630036"/>
    <w:rsid w:val="0066171A"/>
    <w:rsid w:val="00677B9F"/>
    <w:rsid w:val="006A5CCB"/>
    <w:rsid w:val="006A749B"/>
    <w:rsid w:val="006A7D13"/>
    <w:rsid w:val="006C44D2"/>
    <w:rsid w:val="00721D60"/>
    <w:rsid w:val="00722237"/>
    <w:rsid w:val="0076549D"/>
    <w:rsid w:val="00771AD9"/>
    <w:rsid w:val="007B2204"/>
    <w:rsid w:val="008171C3"/>
    <w:rsid w:val="0082112D"/>
    <w:rsid w:val="008549BE"/>
    <w:rsid w:val="008625BF"/>
    <w:rsid w:val="0087697D"/>
    <w:rsid w:val="008A1AD2"/>
    <w:rsid w:val="008D377C"/>
    <w:rsid w:val="008F7512"/>
    <w:rsid w:val="009360E9"/>
    <w:rsid w:val="009A75BC"/>
    <w:rsid w:val="009C2650"/>
    <w:rsid w:val="009C7FDC"/>
    <w:rsid w:val="009D4BF2"/>
    <w:rsid w:val="009D5555"/>
    <w:rsid w:val="00A94744"/>
    <w:rsid w:val="00AB5FAE"/>
    <w:rsid w:val="00AD5250"/>
    <w:rsid w:val="00AE1205"/>
    <w:rsid w:val="00AF5976"/>
    <w:rsid w:val="00AF6863"/>
    <w:rsid w:val="00B11AAC"/>
    <w:rsid w:val="00B1236B"/>
    <w:rsid w:val="00B30325"/>
    <w:rsid w:val="00B60DCE"/>
    <w:rsid w:val="00B802B5"/>
    <w:rsid w:val="00B90204"/>
    <w:rsid w:val="00B94C0A"/>
    <w:rsid w:val="00BB2E05"/>
    <w:rsid w:val="00BB2F0E"/>
    <w:rsid w:val="00BD001A"/>
    <w:rsid w:val="00BE2F4E"/>
    <w:rsid w:val="00BE7DC0"/>
    <w:rsid w:val="00C44AB2"/>
    <w:rsid w:val="00CC618E"/>
    <w:rsid w:val="00CE0CE5"/>
    <w:rsid w:val="00D00A33"/>
    <w:rsid w:val="00D521B2"/>
    <w:rsid w:val="00DD0948"/>
    <w:rsid w:val="00DE607A"/>
    <w:rsid w:val="00E2129B"/>
    <w:rsid w:val="00E4388C"/>
    <w:rsid w:val="00E50352"/>
    <w:rsid w:val="00E65990"/>
    <w:rsid w:val="00E92D33"/>
    <w:rsid w:val="00EA4305"/>
    <w:rsid w:val="00EA57B5"/>
    <w:rsid w:val="00EC5CA2"/>
    <w:rsid w:val="00EF60D5"/>
    <w:rsid w:val="00F24B64"/>
    <w:rsid w:val="00F75072"/>
    <w:rsid w:val="00F90A32"/>
    <w:rsid w:val="00FA23C5"/>
    <w:rsid w:val="00FB5046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607F7D7"/>
  <w15:docId w15:val="{63ACC82C-CBDD-44F1-B213-C84CD957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1AAC"/>
    <w:pPr>
      <w:spacing w:after="160" w:line="259" w:lineRule="auto"/>
    </w:pPr>
    <w:rPr>
      <w:rFonts w:asciiTheme="minorHAnsi" w:hAnsiTheme="minorHAnsi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171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171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66114"/>
  </w:style>
  <w:style w:type="paragraph" w:styleId="Bezodstpw">
    <w:name w:val="No Spacing"/>
    <w:uiPriority w:val="1"/>
    <w:qFormat/>
    <w:rsid w:val="00B11AAC"/>
    <w:rPr>
      <w:rFonts w:asciiTheme="minorHAnsi" w:hAnsiTheme="minorHAns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rsid w:val="0042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2331"/>
    <w:rPr>
      <w:rFonts w:ascii="Tahoma" w:hAnsi="Tahoma" w:cs="Tahoma"/>
      <w:sz w:val="16"/>
      <w:szCs w:val="16"/>
      <w:lang w:val="en-GB" w:eastAsia="en-US"/>
    </w:rPr>
  </w:style>
  <w:style w:type="paragraph" w:styleId="Podtytu">
    <w:name w:val="Subtitle"/>
    <w:basedOn w:val="Normalny"/>
    <w:link w:val="PodtytuZnak"/>
    <w:qFormat/>
    <w:rsid w:val="00F24B64"/>
    <w:pPr>
      <w:spacing w:after="0" w:line="240" w:lineRule="auto"/>
      <w:jc w:val="center"/>
    </w:pPr>
    <w:rPr>
      <w:rFonts w:ascii="Arial" w:hAnsi="Arial" w:cs="Arial"/>
      <w:b/>
      <w:bCs/>
      <w:spacing w:val="-2"/>
      <w:sz w:val="40"/>
      <w:szCs w:val="20"/>
      <w:lang w:val="es-ES_tradnl" w:eastAsia="es-ES"/>
    </w:rPr>
  </w:style>
  <w:style w:type="character" w:customStyle="1" w:styleId="PodtytuZnak">
    <w:name w:val="Podtytuł Znak"/>
    <w:basedOn w:val="Domylnaczcionkaakapitu"/>
    <w:link w:val="Podtytu"/>
    <w:rsid w:val="00F24B64"/>
    <w:rPr>
      <w:rFonts w:ascii="Arial" w:hAnsi="Arial" w:cs="Arial"/>
      <w:b/>
      <w:bCs/>
      <w:spacing w:val="-2"/>
      <w:sz w:val="40"/>
      <w:lang w:val="es-ES_tradnl" w:eastAsia="es-ES"/>
    </w:rPr>
  </w:style>
  <w:style w:type="paragraph" w:styleId="Tekstpodstawowy">
    <w:name w:val="Body Text"/>
    <w:basedOn w:val="Normalny"/>
    <w:link w:val="TekstpodstawowyZnak"/>
    <w:uiPriority w:val="1"/>
    <w:qFormat/>
    <w:rsid w:val="00DE60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607A"/>
    <w:rPr>
      <w:rFonts w:ascii="Arial" w:eastAsia="Arial" w:hAnsi="Arial" w:cs="Arial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8211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21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112D"/>
    <w:rPr>
      <w:rFonts w:asciiTheme="minorHAnsi" w:hAnsiTheme="minorHAns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21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2112D"/>
    <w:rPr>
      <w:rFonts w:asciiTheme="minorHAnsi" w:hAnsiTheme="minorHAns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AGRAVIS Raiffeisen AG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Beckmann</dc:creator>
  <cp:lastModifiedBy>Katarzyna Łbik</cp:lastModifiedBy>
  <cp:revision>21</cp:revision>
  <cp:lastPrinted>2019-02-25T09:46:00Z</cp:lastPrinted>
  <dcterms:created xsi:type="dcterms:W3CDTF">2018-02-19T12:07:00Z</dcterms:created>
  <dcterms:modified xsi:type="dcterms:W3CDTF">2019-02-25T09:46:00Z</dcterms:modified>
</cp:coreProperties>
</file>