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84B6" w14:textId="77777777" w:rsidR="0039434D" w:rsidRPr="00FF3D97" w:rsidRDefault="00A87FB6" w:rsidP="00F050BB">
      <w:pPr>
        <w:tabs>
          <w:tab w:val="left" w:pos="196"/>
        </w:tabs>
        <w:spacing w:line="276" w:lineRule="auto"/>
        <w:ind w:right="113"/>
        <w:jc w:val="both"/>
        <w:rPr>
          <w:sz w:val="32"/>
          <w:szCs w:val="32"/>
          <w:lang w:val="pl-PL"/>
        </w:rPr>
      </w:pPr>
      <w:r w:rsidRPr="00FF3D97">
        <w:rPr>
          <w:b/>
          <w:sz w:val="32"/>
          <w:szCs w:val="32"/>
          <w:lang w:val="pl-PL"/>
        </w:rPr>
        <w:t>ULOTKA INFORMACYJNA</w:t>
      </w:r>
    </w:p>
    <w:p w14:paraId="4B3FF469" w14:textId="77777777" w:rsidR="0039434D" w:rsidRPr="00FF3D97" w:rsidRDefault="0039434D" w:rsidP="00F050BB">
      <w:pPr>
        <w:tabs>
          <w:tab w:val="left" w:pos="196"/>
        </w:tabs>
        <w:spacing w:line="276" w:lineRule="auto"/>
        <w:jc w:val="both"/>
        <w:rPr>
          <w:b/>
          <w:sz w:val="32"/>
          <w:szCs w:val="32"/>
          <w:lang w:val="pl-PL"/>
        </w:rPr>
      </w:pPr>
    </w:p>
    <w:p w14:paraId="6F90461F" w14:textId="040E5824" w:rsidR="00680665" w:rsidRPr="00FF3D97" w:rsidRDefault="009B2DEA" w:rsidP="00F050BB">
      <w:pPr>
        <w:spacing w:line="276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DELTATIC</w:t>
      </w:r>
      <w:r w:rsidR="008370F1" w:rsidRPr="00FF3D97">
        <w:rPr>
          <w:b/>
          <w:sz w:val="28"/>
          <w:szCs w:val="28"/>
          <w:lang w:val="pl-PL"/>
        </w:rPr>
        <w:t xml:space="preserve"> </w:t>
      </w:r>
      <w:r w:rsidR="00BC5D60" w:rsidRPr="00BC5D60">
        <w:rPr>
          <w:b/>
          <w:sz w:val="28"/>
          <w:szCs w:val="28"/>
          <w:lang w:val="pl-PL"/>
        </w:rPr>
        <w:t>1,304 g</w:t>
      </w:r>
    </w:p>
    <w:p w14:paraId="60742205" w14:textId="48800B79" w:rsidR="008370F1" w:rsidRPr="009B2DEA" w:rsidRDefault="009B2DEA" w:rsidP="00F050BB">
      <w:pPr>
        <w:spacing w:line="276" w:lineRule="auto"/>
        <w:jc w:val="both"/>
        <w:rPr>
          <w:sz w:val="24"/>
          <w:szCs w:val="24"/>
          <w:lang w:val="pl-PL"/>
        </w:rPr>
      </w:pPr>
      <w:r w:rsidRPr="009B2DEA">
        <w:rPr>
          <w:lang w:val="pl-PL"/>
        </w:rPr>
        <w:t xml:space="preserve">obroża lecznicza dla </w:t>
      </w:r>
      <w:r w:rsidR="00BC5D60">
        <w:rPr>
          <w:lang w:val="pl-PL"/>
        </w:rPr>
        <w:t xml:space="preserve">dużych i </w:t>
      </w:r>
      <w:r w:rsidRPr="009B2DEA">
        <w:rPr>
          <w:lang w:val="pl-PL"/>
        </w:rPr>
        <w:t xml:space="preserve">bardzo </w:t>
      </w:r>
      <w:r w:rsidR="00BC5D60">
        <w:rPr>
          <w:lang w:val="pl-PL"/>
        </w:rPr>
        <w:t>dużych</w:t>
      </w:r>
      <w:r w:rsidRPr="009B2DEA">
        <w:rPr>
          <w:lang w:val="pl-PL"/>
        </w:rPr>
        <w:t xml:space="preserve"> psów</w:t>
      </w:r>
    </w:p>
    <w:p w14:paraId="6249FE5E" w14:textId="77777777" w:rsidR="00680665" w:rsidRPr="00FF3D97" w:rsidRDefault="00680665" w:rsidP="00F050BB">
      <w:pPr>
        <w:spacing w:line="276" w:lineRule="auto"/>
        <w:jc w:val="both"/>
        <w:rPr>
          <w:sz w:val="24"/>
          <w:szCs w:val="24"/>
          <w:lang w:val="pl-PL"/>
        </w:rPr>
      </w:pPr>
    </w:p>
    <w:p w14:paraId="4BB05336" w14:textId="77777777" w:rsidR="008370F1" w:rsidRPr="00FF3D97" w:rsidRDefault="008370F1" w:rsidP="002965A1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1.</w:t>
      </w:r>
      <w:r w:rsidRPr="00FF3D97">
        <w:rPr>
          <w:b/>
          <w:sz w:val="20"/>
          <w:szCs w:val="20"/>
          <w:lang w:val="pl-PL"/>
        </w:rPr>
        <w:tab/>
      </w:r>
      <w:r w:rsidR="00A87FB6" w:rsidRPr="00FF3D97">
        <w:rPr>
          <w:b/>
          <w:sz w:val="20"/>
          <w:szCs w:val="20"/>
          <w:lang w:val="pl-PL"/>
        </w:rPr>
        <w:t>NAZWA I ADRES PODMIOTU ODPOWIEDZIALNEGO ORAZ WYTWÓRCY ODPOWIEDZIALNEGO ZA ZWOLNIENIE SERII, JEŚLI</w:t>
      </w:r>
      <w:r w:rsidR="00FF3D97">
        <w:rPr>
          <w:b/>
          <w:sz w:val="20"/>
          <w:szCs w:val="20"/>
          <w:lang w:val="pl-PL"/>
        </w:rPr>
        <w:t xml:space="preserve"> JEST INNY</w:t>
      </w:r>
    </w:p>
    <w:p w14:paraId="46750A25" w14:textId="77777777" w:rsidR="008370F1" w:rsidRPr="00FF3D97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13130AE1" w14:textId="77777777" w:rsidR="008370F1" w:rsidRPr="009B2DEA" w:rsidRDefault="00FF3D97" w:rsidP="002965A1">
      <w:pPr>
        <w:tabs>
          <w:tab w:val="left" w:pos="284"/>
        </w:tabs>
        <w:spacing w:line="276" w:lineRule="auto"/>
        <w:jc w:val="both"/>
        <w:rPr>
          <w:iCs/>
          <w:color w:val="FF0000"/>
          <w:sz w:val="20"/>
          <w:szCs w:val="20"/>
          <w:lang w:val="pl-PL"/>
        </w:rPr>
      </w:pPr>
      <w:r w:rsidRPr="009B2DEA">
        <w:rPr>
          <w:iCs/>
          <w:color w:val="FF0000"/>
          <w:sz w:val="20"/>
          <w:szCs w:val="20"/>
          <w:u w:val="single"/>
          <w:lang w:val="pl-PL"/>
        </w:rPr>
        <w:t>Podmiot odpowiedzialny i wytwórca odpowiedzialny za zwolnienie serii</w:t>
      </w:r>
      <w:r w:rsidR="008370F1" w:rsidRPr="009B2DEA">
        <w:rPr>
          <w:iCs/>
          <w:color w:val="FF0000"/>
          <w:sz w:val="20"/>
          <w:szCs w:val="20"/>
          <w:lang w:val="pl-PL"/>
        </w:rPr>
        <w:t>:</w:t>
      </w:r>
    </w:p>
    <w:p w14:paraId="5C95209E" w14:textId="77777777" w:rsidR="008370F1" w:rsidRPr="009B2DEA" w:rsidRDefault="00FF3D97" w:rsidP="002965A1">
      <w:pPr>
        <w:pStyle w:val="Tekstpodstawowy"/>
        <w:tabs>
          <w:tab w:val="left" w:pos="284"/>
          <w:tab w:val="left" w:pos="482"/>
        </w:tabs>
        <w:spacing w:line="276" w:lineRule="auto"/>
        <w:jc w:val="both"/>
        <w:rPr>
          <w:color w:val="FF0000"/>
          <w:lang w:val="en-GB"/>
        </w:rPr>
      </w:pPr>
      <w:r w:rsidRPr="009B2DEA">
        <w:rPr>
          <w:color w:val="FF0000"/>
          <w:lang w:val="en-GB"/>
        </w:rPr>
        <w:t>aniMedica GmbH</w:t>
      </w:r>
    </w:p>
    <w:p w14:paraId="60114728" w14:textId="77777777" w:rsidR="008370F1" w:rsidRPr="009B2DEA" w:rsidRDefault="00FF3D97" w:rsidP="002965A1">
      <w:pPr>
        <w:tabs>
          <w:tab w:val="left" w:pos="284"/>
          <w:tab w:val="left" w:pos="482"/>
        </w:tabs>
        <w:adjustRightInd w:val="0"/>
        <w:spacing w:line="276" w:lineRule="auto"/>
        <w:jc w:val="both"/>
        <w:rPr>
          <w:color w:val="FF0000"/>
          <w:sz w:val="20"/>
          <w:szCs w:val="20"/>
          <w:lang w:val="es-ES" w:eastAsia="de-DE"/>
        </w:rPr>
      </w:pPr>
      <w:r w:rsidRPr="009B2DEA">
        <w:rPr>
          <w:color w:val="FF0000"/>
          <w:sz w:val="20"/>
          <w:szCs w:val="20"/>
          <w:lang w:val="es-ES" w:eastAsia="de-DE"/>
        </w:rPr>
        <w:t>Im S</w:t>
      </w:r>
      <w:r w:rsidRPr="009B2DEA">
        <w:rPr>
          <w:color w:val="FF0000"/>
          <w:sz w:val="20"/>
          <w:szCs w:val="20"/>
          <w:lang w:val="de-DE"/>
        </w:rPr>
        <w:t>üdfeld</w:t>
      </w:r>
      <w:r w:rsidRPr="009B2DEA">
        <w:rPr>
          <w:color w:val="FF0000"/>
          <w:lang w:val="de-DE"/>
        </w:rPr>
        <w:t xml:space="preserve"> </w:t>
      </w:r>
      <w:r w:rsidRPr="009B2DEA">
        <w:rPr>
          <w:color w:val="FF0000"/>
          <w:sz w:val="20"/>
          <w:lang w:val="de-DE"/>
        </w:rPr>
        <w:t>9</w:t>
      </w:r>
    </w:p>
    <w:p w14:paraId="11E3A9BE" w14:textId="77777777" w:rsidR="008370F1" w:rsidRPr="009B2DEA" w:rsidRDefault="00FF3D97" w:rsidP="002965A1">
      <w:pPr>
        <w:pStyle w:val="Tekstpodstawowy"/>
        <w:tabs>
          <w:tab w:val="left" w:pos="284"/>
          <w:tab w:val="left" w:pos="435"/>
          <w:tab w:val="left" w:pos="482"/>
        </w:tabs>
        <w:spacing w:line="276" w:lineRule="auto"/>
        <w:jc w:val="both"/>
        <w:rPr>
          <w:color w:val="FF0000"/>
          <w:lang w:val="de-DE"/>
        </w:rPr>
      </w:pPr>
      <w:r w:rsidRPr="009B2DEA">
        <w:rPr>
          <w:color w:val="FF0000"/>
          <w:lang w:val="es-ES" w:eastAsia="de-DE"/>
        </w:rPr>
        <w:t>48308 Senden-B</w:t>
      </w:r>
      <w:r w:rsidRPr="009B2DEA">
        <w:rPr>
          <w:color w:val="FF0000"/>
          <w:lang w:val="de-DE"/>
        </w:rPr>
        <w:t>ösensell</w:t>
      </w:r>
    </w:p>
    <w:p w14:paraId="65F39A30" w14:textId="77777777" w:rsidR="00FF3D97" w:rsidRPr="009B2DEA" w:rsidRDefault="00FF3D97" w:rsidP="002965A1">
      <w:pPr>
        <w:pStyle w:val="Tekstpodstawowy"/>
        <w:tabs>
          <w:tab w:val="left" w:pos="284"/>
          <w:tab w:val="left" w:pos="435"/>
          <w:tab w:val="left" w:pos="482"/>
        </w:tabs>
        <w:spacing w:line="276" w:lineRule="auto"/>
        <w:jc w:val="both"/>
        <w:rPr>
          <w:color w:val="FF0000"/>
          <w:lang w:val="es-ES" w:eastAsia="de-DE"/>
        </w:rPr>
      </w:pPr>
      <w:r w:rsidRPr="009B2DEA">
        <w:rPr>
          <w:color w:val="FF0000"/>
          <w:lang w:val="es-ES" w:eastAsia="de-DE"/>
        </w:rPr>
        <w:t>Niemcy</w:t>
      </w:r>
    </w:p>
    <w:p w14:paraId="4D6F1E2B" w14:textId="77777777" w:rsidR="008370F1" w:rsidRPr="009B2DEA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AE545B1" w14:textId="77777777" w:rsidR="00F050BB" w:rsidRPr="009B2DEA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08AF6AA0" w14:textId="77777777" w:rsidR="00131114" w:rsidRPr="00FF3D97" w:rsidRDefault="008370F1" w:rsidP="002965A1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2.</w:t>
      </w:r>
      <w:r w:rsidRPr="00FF3D97">
        <w:rPr>
          <w:b/>
          <w:sz w:val="20"/>
          <w:szCs w:val="20"/>
          <w:lang w:val="pl-PL"/>
        </w:rPr>
        <w:tab/>
      </w:r>
      <w:r w:rsidR="00FF3D97" w:rsidRPr="00FF3D97">
        <w:rPr>
          <w:b/>
          <w:sz w:val="20"/>
          <w:szCs w:val="20"/>
          <w:lang w:val="pl-PL"/>
        </w:rPr>
        <w:t>NAZWA PRODUKTU LECZNICZEGO WETERYNARYJNEGO</w:t>
      </w:r>
    </w:p>
    <w:p w14:paraId="5209F9A7" w14:textId="643B96C2" w:rsidR="008370F1" w:rsidRDefault="009B2DEA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>Deltatic</w:t>
      </w:r>
      <w:r>
        <w:rPr>
          <w:sz w:val="20"/>
          <w:szCs w:val="20"/>
          <w:lang w:val="pl-PL"/>
        </w:rPr>
        <w:t xml:space="preserve"> </w:t>
      </w:r>
      <w:r w:rsidR="00BC5D60" w:rsidRPr="00BC5D60">
        <w:rPr>
          <w:sz w:val="20"/>
          <w:szCs w:val="20"/>
          <w:lang w:val="pl-PL"/>
        </w:rPr>
        <w:t xml:space="preserve">1,304 g </w:t>
      </w:r>
      <w:r w:rsidRPr="009B2DEA">
        <w:rPr>
          <w:sz w:val="20"/>
          <w:szCs w:val="20"/>
          <w:lang w:val="pl-PL"/>
        </w:rPr>
        <w:t xml:space="preserve">obroża lecznicza dla </w:t>
      </w:r>
      <w:r w:rsidR="00BC5D60">
        <w:rPr>
          <w:sz w:val="20"/>
          <w:szCs w:val="20"/>
          <w:lang w:val="pl-PL"/>
        </w:rPr>
        <w:t xml:space="preserve">dużych i </w:t>
      </w:r>
      <w:r>
        <w:rPr>
          <w:sz w:val="20"/>
          <w:szCs w:val="20"/>
          <w:lang w:val="pl-PL"/>
        </w:rPr>
        <w:t xml:space="preserve">bardzo </w:t>
      </w:r>
      <w:r w:rsidR="00BC5D60">
        <w:rPr>
          <w:sz w:val="20"/>
          <w:szCs w:val="20"/>
          <w:lang w:val="pl-PL"/>
        </w:rPr>
        <w:t>dużych</w:t>
      </w:r>
      <w:r w:rsidRPr="009B2DEA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psów</w:t>
      </w:r>
    </w:p>
    <w:p w14:paraId="05E365D2" w14:textId="77777777" w:rsidR="009B2DEA" w:rsidRPr="00FF3D97" w:rsidRDefault="009B2DEA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63BB4FA9" w14:textId="77777777" w:rsidR="00F050BB" w:rsidRPr="00FF3D97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3EBF7FD" w14:textId="77777777" w:rsidR="00D338F0" w:rsidRPr="00D511BD" w:rsidRDefault="008370F1" w:rsidP="002965A1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3.</w:t>
      </w:r>
      <w:r w:rsidRPr="00D511BD">
        <w:rPr>
          <w:b/>
          <w:sz w:val="20"/>
          <w:szCs w:val="20"/>
          <w:lang w:val="pl-PL"/>
        </w:rPr>
        <w:tab/>
      </w:r>
      <w:r w:rsidR="00FF3D97" w:rsidRPr="00D511BD">
        <w:rPr>
          <w:b/>
          <w:sz w:val="20"/>
          <w:szCs w:val="20"/>
          <w:lang w:val="pl-PL"/>
        </w:rPr>
        <w:t>ZAWART</w:t>
      </w:r>
      <w:r w:rsidR="00FD048B">
        <w:rPr>
          <w:b/>
          <w:sz w:val="20"/>
          <w:szCs w:val="20"/>
          <w:lang w:val="pl-PL"/>
        </w:rPr>
        <w:t>O</w:t>
      </w:r>
      <w:r w:rsidR="00D511BD" w:rsidRPr="00D511BD">
        <w:rPr>
          <w:b/>
          <w:sz w:val="20"/>
          <w:szCs w:val="20"/>
          <w:lang w:val="pl-PL"/>
        </w:rPr>
        <w:t>ŚĆ SUBSTANCJI CZ</w:t>
      </w:r>
      <w:r w:rsidR="00D511BD">
        <w:rPr>
          <w:b/>
          <w:sz w:val="20"/>
          <w:szCs w:val="20"/>
          <w:lang w:val="pl-PL"/>
        </w:rPr>
        <w:t>YNNEJ I INNYCH SUBSTANCJI</w:t>
      </w:r>
    </w:p>
    <w:p w14:paraId="34890753" w14:textId="65BAA008" w:rsidR="008370F1" w:rsidRDefault="009B2DEA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 xml:space="preserve">Jedna obroża o długości </w:t>
      </w:r>
      <w:r w:rsidR="00BC5D60">
        <w:rPr>
          <w:sz w:val="20"/>
          <w:szCs w:val="20"/>
          <w:lang w:val="pl-PL"/>
        </w:rPr>
        <w:t>7</w:t>
      </w:r>
      <w:r w:rsidRPr="009B2DEA">
        <w:rPr>
          <w:sz w:val="20"/>
          <w:szCs w:val="20"/>
          <w:lang w:val="pl-PL"/>
        </w:rPr>
        <w:t>5 cm (</w:t>
      </w:r>
      <w:r w:rsidR="00BC5D60" w:rsidRPr="00BC5D60">
        <w:rPr>
          <w:sz w:val="20"/>
          <w:szCs w:val="20"/>
          <w:lang w:val="pl-PL"/>
        </w:rPr>
        <w:t>32,60</w:t>
      </w:r>
      <w:r w:rsidR="00BC5D60">
        <w:rPr>
          <w:sz w:val="20"/>
          <w:szCs w:val="20"/>
          <w:lang w:val="pl-PL"/>
        </w:rPr>
        <w:t xml:space="preserve"> </w:t>
      </w:r>
      <w:r w:rsidR="00BC5D60" w:rsidRPr="00BC5D60">
        <w:rPr>
          <w:sz w:val="20"/>
          <w:szCs w:val="20"/>
          <w:lang w:val="pl-PL"/>
        </w:rPr>
        <w:t>g</w:t>
      </w:r>
      <w:r w:rsidRPr="009B2DEA">
        <w:rPr>
          <w:sz w:val="20"/>
          <w:szCs w:val="20"/>
          <w:lang w:val="pl-PL"/>
        </w:rPr>
        <w:t>) zawiera:</w:t>
      </w:r>
    </w:p>
    <w:p w14:paraId="791BA9CC" w14:textId="77777777" w:rsidR="009B2DEA" w:rsidRPr="00D511BD" w:rsidRDefault="009B2DEA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07EACD0D" w14:textId="77777777" w:rsidR="008370F1" w:rsidRPr="00D511BD" w:rsidRDefault="00D511BD" w:rsidP="002965A1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Substancja czynna</w:t>
      </w:r>
      <w:r w:rsidR="008370F1" w:rsidRPr="00D511BD">
        <w:rPr>
          <w:b/>
          <w:sz w:val="20"/>
          <w:szCs w:val="20"/>
          <w:lang w:val="pl-PL"/>
        </w:rPr>
        <w:t>:</w:t>
      </w:r>
    </w:p>
    <w:p w14:paraId="55C933A7" w14:textId="03004E80" w:rsidR="008370F1" w:rsidRPr="00D511BD" w:rsidRDefault="009B2DEA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>Deltametryna</w:t>
      </w:r>
      <w:r w:rsidR="008370F1" w:rsidRPr="00D511BD">
        <w:rPr>
          <w:sz w:val="20"/>
          <w:szCs w:val="20"/>
          <w:lang w:val="pl-PL"/>
        </w:rPr>
        <w:tab/>
      </w:r>
      <w:r w:rsidR="00BC5D60" w:rsidRPr="00BC5D60">
        <w:rPr>
          <w:sz w:val="20"/>
          <w:szCs w:val="20"/>
          <w:lang w:val="pl-PL"/>
        </w:rPr>
        <w:t>1,304 g</w:t>
      </w:r>
    </w:p>
    <w:p w14:paraId="0BEA9F12" w14:textId="60E3D60B" w:rsidR="008370F1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5B49A6D0" w14:textId="0BDBB1A8" w:rsidR="009B2DEA" w:rsidRPr="00D511BD" w:rsidRDefault="009B2DEA" w:rsidP="009B2DEA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Substanc</w:t>
      </w:r>
      <w:r>
        <w:rPr>
          <w:b/>
          <w:sz w:val="20"/>
          <w:szCs w:val="20"/>
          <w:lang w:val="pl-PL"/>
        </w:rPr>
        <w:t>je pomocnicze</w:t>
      </w:r>
      <w:r w:rsidRPr="00D511BD">
        <w:rPr>
          <w:b/>
          <w:sz w:val="20"/>
          <w:szCs w:val="20"/>
          <w:lang w:val="pl-PL"/>
        </w:rPr>
        <w:t>:</w:t>
      </w:r>
    </w:p>
    <w:p w14:paraId="1F974541" w14:textId="773C75B9" w:rsidR="009B2DEA" w:rsidRPr="00D511BD" w:rsidRDefault="009B2DEA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>Tytanu dwutlenek (E171)</w:t>
      </w:r>
      <w:r>
        <w:rPr>
          <w:sz w:val="20"/>
          <w:szCs w:val="20"/>
          <w:lang w:val="pl-PL"/>
        </w:rPr>
        <w:t xml:space="preserve">  </w:t>
      </w:r>
      <w:r w:rsidR="00BC5D60" w:rsidRPr="00BC5D60">
        <w:rPr>
          <w:sz w:val="20"/>
          <w:szCs w:val="20"/>
          <w:lang w:val="pl-PL"/>
        </w:rPr>
        <w:t>0,489 g</w:t>
      </w:r>
    </w:p>
    <w:p w14:paraId="42E536F4" w14:textId="77777777" w:rsidR="00D338F0" w:rsidRPr="009B2DEA" w:rsidRDefault="00D338F0" w:rsidP="0017372F">
      <w:pPr>
        <w:tabs>
          <w:tab w:val="left" w:pos="426"/>
        </w:tabs>
        <w:spacing w:line="276" w:lineRule="auto"/>
        <w:rPr>
          <w:sz w:val="20"/>
          <w:szCs w:val="20"/>
          <w:lang w:val="pl-PL"/>
        </w:rPr>
      </w:pPr>
    </w:p>
    <w:p w14:paraId="6E79F811" w14:textId="77777777" w:rsidR="00D338F0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4.</w:t>
      </w:r>
      <w:r w:rsidRPr="0017372F">
        <w:rPr>
          <w:b/>
          <w:sz w:val="20"/>
          <w:lang w:val="pl-PL"/>
        </w:rPr>
        <w:tab/>
      </w:r>
      <w:r w:rsidR="00D511BD" w:rsidRPr="0017372F">
        <w:rPr>
          <w:b/>
          <w:sz w:val="20"/>
          <w:lang w:val="pl-PL"/>
        </w:rPr>
        <w:t>WSKAZANIA LECZNICZE</w:t>
      </w:r>
    </w:p>
    <w:p w14:paraId="08FC550C" w14:textId="77777777" w:rsidR="009B2DEA" w:rsidRPr="009B2DEA" w:rsidRDefault="009B2DEA" w:rsidP="009B2DEA">
      <w:pPr>
        <w:spacing w:line="276" w:lineRule="auto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 xml:space="preserve">Zakażenie pasożytami wrażliwymi na deltametrynę. </w:t>
      </w:r>
    </w:p>
    <w:p w14:paraId="5357712C" w14:textId="77777777" w:rsidR="009B2DEA" w:rsidRPr="009B2DEA" w:rsidRDefault="009B2DEA" w:rsidP="009B2DEA">
      <w:pPr>
        <w:spacing w:line="276" w:lineRule="auto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>Zapobieganie ponownej inwazji kleszczy (</w:t>
      </w:r>
      <w:r w:rsidRPr="009B2DEA">
        <w:rPr>
          <w:i/>
          <w:iCs/>
          <w:sz w:val="20"/>
          <w:szCs w:val="20"/>
          <w:lang w:val="pl-PL"/>
        </w:rPr>
        <w:t>Ixodes ricinus</w:t>
      </w:r>
      <w:r w:rsidRPr="009B2DEA">
        <w:rPr>
          <w:sz w:val="20"/>
          <w:szCs w:val="20"/>
          <w:lang w:val="pl-PL"/>
        </w:rPr>
        <w:t xml:space="preserve"> i </w:t>
      </w:r>
      <w:r w:rsidRPr="009B2DEA">
        <w:rPr>
          <w:i/>
          <w:iCs/>
          <w:sz w:val="20"/>
          <w:szCs w:val="20"/>
          <w:lang w:val="pl-PL"/>
        </w:rPr>
        <w:t>Rhipicephalus sanguineus</w:t>
      </w:r>
      <w:r w:rsidRPr="009B2DEA">
        <w:rPr>
          <w:sz w:val="20"/>
          <w:szCs w:val="20"/>
          <w:lang w:val="pl-PL"/>
        </w:rPr>
        <w:t xml:space="preserve">) dzięki działaniu roztoczobójczemu przez okres 6 miesięcy. </w:t>
      </w:r>
    </w:p>
    <w:p w14:paraId="5C9D7E37" w14:textId="77777777" w:rsidR="009B2DEA" w:rsidRPr="009B2DEA" w:rsidRDefault="009B2DEA" w:rsidP="009B2DEA">
      <w:pPr>
        <w:spacing w:line="276" w:lineRule="auto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>Zapobieganie ukąszeniom muchówek (</w:t>
      </w:r>
      <w:r w:rsidRPr="009B2DEA">
        <w:rPr>
          <w:i/>
          <w:iCs/>
          <w:sz w:val="20"/>
          <w:szCs w:val="20"/>
          <w:lang w:val="pl-PL"/>
        </w:rPr>
        <w:t>Phlebotomus perniciosus</w:t>
      </w:r>
      <w:r w:rsidRPr="009B2DEA">
        <w:rPr>
          <w:sz w:val="20"/>
          <w:szCs w:val="20"/>
          <w:lang w:val="pl-PL"/>
        </w:rPr>
        <w:t>) dzięki działaniu odstraszającemu (przeciwdziała żerowaniu) przez okres 5 miesięcy.</w:t>
      </w:r>
    </w:p>
    <w:p w14:paraId="446941CD" w14:textId="20FFDB59" w:rsidR="00CE1269" w:rsidRDefault="009B2DEA" w:rsidP="009B2DEA">
      <w:pPr>
        <w:spacing w:line="276" w:lineRule="auto"/>
        <w:rPr>
          <w:b/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>Zapobieganie ukąszeniom komarów (</w:t>
      </w:r>
      <w:r w:rsidRPr="009B2DEA">
        <w:rPr>
          <w:i/>
          <w:iCs/>
          <w:sz w:val="20"/>
          <w:szCs w:val="20"/>
          <w:lang w:val="pl-PL"/>
        </w:rPr>
        <w:t>Culex pipiens</w:t>
      </w:r>
      <w:r w:rsidRPr="009B2DEA">
        <w:rPr>
          <w:sz w:val="20"/>
          <w:szCs w:val="20"/>
          <w:lang w:val="pl-PL"/>
        </w:rPr>
        <w:t>) dzięki działaniu odstraszającemu (przeciwdziała żerowaniu) przez okres 6 miesięcy.</w:t>
      </w:r>
      <w:r w:rsidR="00CE1269">
        <w:rPr>
          <w:b/>
          <w:sz w:val="20"/>
          <w:szCs w:val="20"/>
          <w:lang w:val="pl-PL"/>
        </w:rPr>
        <w:br w:type="page"/>
      </w:r>
    </w:p>
    <w:p w14:paraId="150E4040" w14:textId="77777777" w:rsidR="008370F1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lastRenderedPageBreak/>
        <w:t>5.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PRZECIWWSKAZANIA</w:t>
      </w:r>
    </w:p>
    <w:p w14:paraId="648667C7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Ze względu na brak odpowiednich badań nie stosować u szczeniąt poniżej 7. tygodnia życia.</w:t>
      </w:r>
    </w:p>
    <w:p w14:paraId="13483196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Nie stosować w przypadkach nadwrażliwości na substancję czynną lub na dowolną substancję pomocniczą.</w:t>
      </w:r>
    </w:p>
    <w:p w14:paraId="53A2F75F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Nie stosować u kotów.</w:t>
      </w:r>
    </w:p>
    <w:p w14:paraId="71F04067" w14:textId="2DF8D3FA" w:rsidR="008370F1" w:rsidRPr="009B2DEA" w:rsidRDefault="009B2DEA" w:rsidP="009B2DEA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Nie stosować u psów ze zmianami skórnymi.</w:t>
      </w:r>
    </w:p>
    <w:p w14:paraId="28E39300" w14:textId="77777777" w:rsidR="00F050BB" w:rsidRPr="009B2DEA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D8B29E9" w14:textId="77777777" w:rsidR="008370F1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6.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DZIAŁANIA NIEPOŻĄDANE</w:t>
      </w:r>
    </w:p>
    <w:p w14:paraId="2510A888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 xml:space="preserve">W rzadkich przypadkach stwierdzano miejscowe zmiany skórne (świąd, rumień, wypadanie sierści) występujące wokół szyi lub ogólnie na skórze, co może wskazywać na miejscową lub uogólnioną reakcję nadwrażliwości. </w:t>
      </w:r>
    </w:p>
    <w:p w14:paraId="0B1E2B46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W sporadycznych przypadkach stwierdzano również zmiany w zachowaniu (np. senność lub nadpobudliwość), którym często towarzyszyło podrażnienie skóry.</w:t>
      </w:r>
    </w:p>
    <w:p w14:paraId="1F6EC2F2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 xml:space="preserve">W sporadycznych przypadkach obserwowano objawy ze strony przewodu pokarmowego, takie jak wymioty, biegunka czy nadmierne ślinienie się. </w:t>
      </w:r>
    </w:p>
    <w:p w14:paraId="77397F53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 xml:space="preserve">W sporadycznych przypadkach obserwowano zaburzenia przewodnictwa nerwowo-mięśniowego, takie jak niezborność ruchów czy drżenie mięśni.  Objawy zwykle ustępowały samoistnie w ciągu 48 godzin od zdjęcia obroży. </w:t>
      </w:r>
    </w:p>
    <w:p w14:paraId="73D682F1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076A580E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Jeśli wystąpi którykolwiek z wymienionych objawów, należy zdjąć psu obrożę. Leczenie powinno mieć charakter objawowy, ponieważ nie jest znana żadna swoista odtrutka.</w:t>
      </w:r>
    </w:p>
    <w:p w14:paraId="15C0D858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223877D8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Częstość występowania działań niepożądanych przedstawia się zgodnie z poniższą regułą:</w:t>
      </w:r>
    </w:p>
    <w:p w14:paraId="6B5A6512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- bardzo często (więcej niż 1 na 10 leczonych zwierząt wykazujących działanie(a) niepożądane)</w:t>
      </w:r>
    </w:p>
    <w:p w14:paraId="05E447F2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- często (więcej niż 1, ale mniej niż 10 na 100 leczonych zwierząt)</w:t>
      </w:r>
    </w:p>
    <w:p w14:paraId="21A8D1AD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- niezbyt często (więcej niż 1, ale mniej niż 10 na 1000 leczonych zwierząt)</w:t>
      </w:r>
    </w:p>
    <w:p w14:paraId="6480AD9E" w14:textId="77777777" w:rsidR="009B2DEA" w:rsidRPr="009B2DEA" w:rsidRDefault="009B2DEA" w:rsidP="009B2DEA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- rzadko (więcej niż 1, ale mniej niż 10 na 10000 leczonych zwierząt)</w:t>
      </w:r>
    </w:p>
    <w:p w14:paraId="28395050" w14:textId="37916316" w:rsidR="008370F1" w:rsidRPr="009B2DEA" w:rsidRDefault="009B2DEA" w:rsidP="009B2DEA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DEA">
        <w:rPr>
          <w:bCs/>
          <w:sz w:val="20"/>
          <w:szCs w:val="20"/>
          <w:lang w:val="pl-PL"/>
        </w:rPr>
        <w:t>- bardzo rzadko (mniej niż 1 na 10000 zwierząt, włączając pojedyncze raporty).</w:t>
      </w:r>
    </w:p>
    <w:p w14:paraId="39CAE6AD" w14:textId="77777777" w:rsidR="00F050BB" w:rsidRPr="009B2DEA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8005DFB" w14:textId="77777777" w:rsidR="00F662F3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7.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DOCELOWE GATUNKI ZWIERZĄT</w:t>
      </w:r>
    </w:p>
    <w:p w14:paraId="16084582" w14:textId="7EEB7BC0" w:rsidR="008370F1" w:rsidRPr="00537C44" w:rsidRDefault="00BC5D60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BC5D60">
        <w:rPr>
          <w:sz w:val="20"/>
          <w:lang w:val="pl-PL"/>
        </w:rPr>
        <w:t>Psy (&gt; 25 kg) – dla dużych i bardzo dużych psów</w:t>
      </w:r>
    </w:p>
    <w:p w14:paraId="565F3C2E" w14:textId="77777777" w:rsidR="00F050BB" w:rsidRPr="00537C44" w:rsidRDefault="00F050BB" w:rsidP="002965A1">
      <w:pPr>
        <w:spacing w:line="276" w:lineRule="auto"/>
        <w:rPr>
          <w:sz w:val="20"/>
          <w:szCs w:val="20"/>
          <w:lang w:val="pl-PL"/>
        </w:rPr>
      </w:pPr>
    </w:p>
    <w:p w14:paraId="1E949FA5" w14:textId="77777777" w:rsidR="008370F1" w:rsidRPr="006C28DD" w:rsidRDefault="008370F1" w:rsidP="006C28DD">
      <w:pPr>
        <w:tabs>
          <w:tab w:val="left" w:pos="426"/>
        </w:tabs>
        <w:rPr>
          <w:b/>
          <w:lang w:val="pl-PL"/>
        </w:rPr>
      </w:pPr>
      <w:r w:rsidRPr="006C28DD">
        <w:rPr>
          <w:b/>
          <w:sz w:val="20"/>
          <w:lang w:val="pl-PL"/>
        </w:rPr>
        <w:t>8.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DAWKOWANIE DLA KAŻDEGO GATUNKU DROGA I SPOSÓB PODANIA</w:t>
      </w:r>
    </w:p>
    <w:p w14:paraId="6A5AA867" w14:textId="16699F37" w:rsidR="00BC5D60" w:rsidRDefault="00BC5D60" w:rsidP="009B2DEA">
      <w:pPr>
        <w:spacing w:line="276" w:lineRule="auto"/>
        <w:rPr>
          <w:sz w:val="20"/>
          <w:szCs w:val="20"/>
          <w:lang w:val="pl-PL"/>
        </w:rPr>
      </w:pPr>
      <w:r w:rsidRPr="00BC5D60">
        <w:rPr>
          <w:sz w:val="20"/>
          <w:szCs w:val="20"/>
          <w:lang w:val="pl-PL"/>
        </w:rPr>
        <w:t xml:space="preserve">Jedną obrożę należy zastosować u jednego psa. Obroża o długości 75 cm przeznaczona jest </w:t>
      </w:r>
      <w:r>
        <w:rPr>
          <w:sz w:val="20"/>
          <w:szCs w:val="20"/>
          <w:lang w:val="pl-PL"/>
        </w:rPr>
        <w:br/>
      </w:r>
      <w:r w:rsidRPr="00BC5D60">
        <w:rPr>
          <w:sz w:val="20"/>
          <w:szCs w:val="20"/>
          <w:lang w:val="pl-PL"/>
        </w:rPr>
        <w:t>dla dużych i bardzo dużych psów. Pasuje do obwodu szyi o długości do 65 cm.</w:t>
      </w:r>
    </w:p>
    <w:p w14:paraId="73CCE492" w14:textId="77777777" w:rsidR="00BC5D60" w:rsidRDefault="00BC5D60" w:rsidP="009B2DEA">
      <w:pPr>
        <w:spacing w:line="276" w:lineRule="auto"/>
        <w:rPr>
          <w:sz w:val="20"/>
          <w:szCs w:val="20"/>
          <w:lang w:val="pl-PL"/>
        </w:rPr>
      </w:pPr>
    </w:p>
    <w:p w14:paraId="602CDCA0" w14:textId="32FB7539" w:rsidR="009B2DEA" w:rsidRPr="009B2DEA" w:rsidRDefault="009B2DEA" w:rsidP="009B2DEA">
      <w:pPr>
        <w:spacing w:line="276" w:lineRule="auto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 xml:space="preserve">Wyjąć obrożę z opakowania i oderwać pasek umożliwiający wygodne otwarcie. Założyć obrożę </w:t>
      </w:r>
    </w:p>
    <w:p w14:paraId="3418C609" w14:textId="77777777" w:rsidR="009B2DEA" w:rsidRPr="009B2DEA" w:rsidRDefault="009B2DEA" w:rsidP="009B2DEA">
      <w:pPr>
        <w:spacing w:line="276" w:lineRule="auto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 xml:space="preserve">w taki sposób, aby nie przylegała zbyt ściśle do szyi zwierzęcia. Między szyją psa a obrożą powinny mieścić się obok siebie dwa palce. Wsunąć końcówkę obroży w zapięcie i jeżeli wychodząca </w:t>
      </w:r>
    </w:p>
    <w:p w14:paraId="35721964" w14:textId="67493CBC" w:rsidR="009B2DEA" w:rsidRDefault="009B2DEA" w:rsidP="009B2DEA">
      <w:pPr>
        <w:spacing w:line="276" w:lineRule="auto"/>
        <w:rPr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 xml:space="preserve">z zapięcia końcówka obroży jest dłuższa niż 5 cm, należy odciąć kawałek obroży powyżej tych 5 cm. </w:t>
      </w:r>
    </w:p>
    <w:p w14:paraId="7FABD594" w14:textId="77777777" w:rsidR="0003053D" w:rsidRDefault="0003053D" w:rsidP="009B2DEA">
      <w:pPr>
        <w:spacing w:line="276" w:lineRule="auto"/>
        <w:rPr>
          <w:sz w:val="20"/>
          <w:szCs w:val="20"/>
          <w:lang w:val="pl-PL"/>
        </w:rPr>
      </w:pPr>
    </w:p>
    <w:p w14:paraId="630A13D8" w14:textId="0BD436DC" w:rsidR="0003053D" w:rsidRPr="009B2DEA" w:rsidRDefault="0003053D" w:rsidP="009B2DEA">
      <w:pPr>
        <w:spacing w:line="276" w:lineRule="auto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drawing>
          <wp:inline distT="0" distB="0" distL="0" distR="0" wp14:anchorId="44B26D96" wp14:editId="58C800D1">
            <wp:extent cx="5771515" cy="933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57C69" w14:textId="11F0BE5F" w:rsidR="009B2DEA" w:rsidRPr="009B2DEA" w:rsidRDefault="009B2DEA" w:rsidP="009B2DEA">
      <w:pPr>
        <w:spacing w:line="276" w:lineRule="auto"/>
        <w:rPr>
          <w:sz w:val="20"/>
          <w:szCs w:val="20"/>
          <w:lang w:val="pl-PL"/>
        </w:rPr>
      </w:pPr>
    </w:p>
    <w:p w14:paraId="5B482224" w14:textId="54A2B35E" w:rsidR="00CE1269" w:rsidRDefault="009B2DEA" w:rsidP="009B2DEA">
      <w:pPr>
        <w:spacing w:line="276" w:lineRule="auto"/>
        <w:rPr>
          <w:b/>
          <w:sz w:val="20"/>
          <w:szCs w:val="20"/>
          <w:lang w:val="pl-PL"/>
        </w:rPr>
      </w:pPr>
      <w:r w:rsidRPr="009B2DEA">
        <w:rPr>
          <w:sz w:val="20"/>
          <w:szCs w:val="20"/>
          <w:lang w:val="pl-PL"/>
        </w:rPr>
        <w:t xml:space="preserve">Obroża jest zaprojektowana w sposób zapewniający bezpieczeństwo po jej założeniu (ochrona przed </w:t>
      </w:r>
      <w:r w:rsidRPr="009B2DEA">
        <w:rPr>
          <w:sz w:val="20"/>
          <w:szCs w:val="20"/>
          <w:lang w:val="pl-PL"/>
        </w:rPr>
        <w:lastRenderedPageBreak/>
        <w:t>uduszeniem). W przypadku bardzo mało prawdopodobnej sytuacji zahaczenia się psa o przeszkodę, zwierzę własnymi siłami jest w stanie rozciągnąć obrożę w takim stopniu, aby szybko się z niej uwolnić.</w:t>
      </w:r>
      <w:r w:rsidR="00CE1269">
        <w:rPr>
          <w:b/>
          <w:sz w:val="20"/>
          <w:szCs w:val="20"/>
          <w:lang w:val="pl-PL"/>
        </w:rPr>
        <w:br w:type="page"/>
      </w:r>
    </w:p>
    <w:p w14:paraId="79529EFC" w14:textId="77777777" w:rsidR="00F662F3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lastRenderedPageBreak/>
        <w:t>9.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ZALECENIA DLA PRAWIDŁOWEGO PODANIA</w:t>
      </w:r>
    </w:p>
    <w:p w14:paraId="71AA1691" w14:textId="77777777" w:rsidR="00537C44" w:rsidRPr="00537C44" w:rsidRDefault="00537C44" w:rsidP="002965A1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537C44">
        <w:rPr>
          <w:sz w:val="20"/>
          <w:szCs w:val="20"/>
          <w:lang w:val="pl-PL"/>
        </w:rPr>
        <w:t>Patrz punkt „Dawkowanie dla ka</w:t>
      </w:r>
      <w:r w:rsidRPr="00537C44">
        <w:rPr>
          <w:bCs/>
          <w:sz w:val="20"/>
          <w:szCs w:val="20"/>
          <w:lang w:val="pl-PL"/>
        </w:rPr>
        <w:t>żdego gatunku, droga i sposób podania”</w:t>
      </w:r>
    </w:p>
    <w:p w14:paraId="25309D9B" w14:textId="77777777" w:rsidR="00F050BB" w:rsidRPr="009B2DEA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551B108F" w14:textId="77777777" w:rsidR="00F662F3" w:rsidRPr="009B2DEA" w:rsidRDefault="00F662F3" w:rsidP="002965A1">
      <w:pPr>
        <w:spacing w:line="276" w:lineRule="auto"/>
        <w:rPr>
          <w:sz w:val="20"/>
          <w:szCs w:val="20"/>
          <w:lang w:val="pl-PL"/>
        </w:rPr>
      </w:pPr>
    </w:p>
    <w:p w14:paraId="0A572235" w14:textId="77777777" w:rsidR="00F662F3" w:rsidRPr="009B2DEA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9B2DEA">
        <w:rPr>
          <w:b/>
          <w:sz w:val="20"/>
          <w:lang w:val="pl-PL"/>
        </w:rPr>
        <w:t>10.</w:t>
      </w:r>
      <w:r w:rsidR="0025675B" w:rsidRPr="009B2DEA">
        <w:rPr>
          <w:b/>
          <w:sz w:val="20"/>
          <w:lang w:val="pl-PL"/>
        </w:rPr>
        <w:tab/>
      </w:r>
      <w:r w:rsidR="00537C44" w:rsidRPr="009B2DEA">
        <w:rPr>
          <w:b/>
          <w:sz w:val="20"/>
          <w:lang w:val="pl-PL"/>
        </w:rPr>
        <w:t>OKRES KARENCJI</w:t>
      </w:r>
    </w:p>
    <w:p w14:paraId="4BC80014" w14:textId="77777777" w:rsidR="008370F1" w:rsidRPr="009B2DEA" w:rsidRDefault="00CF7C7A" w:rsidP="006C28DD">
      <w:pPr>
        <w:rPr>
          <w:sz w:val="20"/>
          <w:lang w:val="pl-PL"/>
        </w:rPr>
      </w:pPr>
      <w:r w:rsidRPr="009B2DEA">
        <w:rPr>
          <w:sz w:val="20"/>
          <w:lang w:val="pl-PL"/>
        </w:rPr>
        <w:t>Nie dotyczy.</w:t>
      </w:r>
    </w:p>
    <w:p w14:paraId="52B7DB47" w14:textId="77777777" w:rsidR="008370F1" w:rsidRPr="009B2DEA" w:rsidRDefault="008370F1" w:rsidP="002965A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14:paraId="72640EBA" w14:textId="77777777" w:rsidR="00F050BB" w:rsidRPr="009B2DEA" w:rsidRDefault="00F050BB" w:rsidP="006C28DD">
      <w:pPr>
        <w:rPr>
          <w:sz w:val="20"/>
          <w:lang w:val="pl-PL"/>
        </w:rPr>
      </w:pPr>
    </w:p>
    <w:p w14:paraId="0395F0E8" w14:textId="77777777" w:rsidR="00F662F3" w:rsidRPr="00CF7C7A" w:rsidRDefault="008370F1" w:rsidP="006C28DD">
      <w:pPr>
        <w:tabs>
          <w:tab w:val="left" w:pos="426"/>
        </w:tabs>
        <w:rPr>
          <w:lang w:val="pl-PL"/>
        </w:rPr>
      </w:pPr>
      <w:r w:rsidRPr="006C28DD">
        <w:rPr>
          <w:b/>
          <w:sz w:val="20"/>
          <w:lang w:val="pl-PL"/>
        </w:rPr>
        <w:t>11.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ŚRODKI OSTROŻNOŚCI PODCZAS PRZECHOWYWANIA</w:t>
      </w:r>
    </w:p>
    <w:p w14:paraId="2B28F2B2" w14:textId="77777777" w:rsidR="0003053D" w:rsidRPr="0003053D" w:rsidRDefault="0003053D" w:rsidP="0003053D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3053D">
        <w:rPr>
          <w:sz w:val="20"/>
          <w:szCs w:val="20"/>
          <w:lang w:val="pl-PL"/>
        </w:rPr>
        <w:t>Brak specjalnych środków ostrożności dotyczących przechowywania.</w:t>
      </w:r>
    </w:p>
    <w:p w14:paraId="19E49030" w14:textId="5CF36E41" w:rsidR="008370F1" w:rsidRPr="00CF7C7A" w:rsidRDefault="0003053D" w:rsidP="0003053D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3053D">
        <w:rPr>
          <w:sz w:val="20"/>
          <w:szCs w:val="20"/>
          <w:lang w:val="pl-PL"/>
        </w:rPr>
        <w:t>Przechowywać saszetki w tekturowym opakowaniu zewnętrznym.</w:t>
      </w:r>
    </w:p>
    <w:p w14:paraId="707C2F11" w14:textId="77777777" w:rsidR="00F050BB" w:rsidRPr="009B2DEA" w:rsidRDefault="00F050BB" w:rsidP="006C28DD">
      <w:pPr>
        <w:rPr>
          <w:sz w:val="20"/>
          <w:lang w:val="pl-PL"/>
        </w:rPr>
      </w:pPr>
    </w:p>
    <w:p w14:paraId="672690C4" w14:textId="77777777" w:rsidR="00F662F3" w:rsidRPr="006C28DD" w:rsidRDefault="008370F1" w:rsidP="006C28DD">
      <w:pPr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12</w:t>
      </w:r>
      <w:r w:rsidR="00CF7C7A" w:rsidRPr="006C28DD">
        <w:rPr>
          <w:b/>
          <w:sz w:val="20"/>
          <w:lang w:val="pl-PL"/>
        </w:rPr>
        <w:t>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OSTRZEŻENIA</w:t>
      </w:r>
    </w:p>
    <w:p w14:paraId="4D8C9721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Specjalne środki ostrożności dotyczące stosowania u zwierząt</w:t>
      </w:r>
      <w:r w:rsidRPr="00396A33">
        <w:rPr>
          <w:bCs/>
          <w:sz w:val="20"/>
          <w:szCs w:val="20"/>
          <w:lang w:val="pl-PL"/>
        </w:rPr>
        <w:t>:</w:t>
      </w:r>
    </w:p>
    <w:p w14:paraId="497315BD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>W związku z tym, że działanie obroży staje się w pełni skuteczne po upływie jednego tygodnia, najlepiej jest ją założyć tydzień przed prawdopodobnym narażeniem zwierząt na inwazję.</w:t>
      </w:r>
    </w:p>
    <w:p w14:paraId="091866F0" w14:textId="6359AF15" w:rsidR="00266C68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>Kleszcze takie zostaną zabite i same odpadną od żywiciela w ciągu 24-48 godzin od momentu inwazji, bez pobrania od niego krwi, przy czym nie można wykluczyć dalszej obecności pojedynczych kleszczy w czasie noszenia obroży. W związku z powyższym nie można wykluczyć przeniesienia chorób zakaźnych przez kleszcze. W niekorzystnych warunkach przeniesienie chorób zakaźnych przez muchówki nie może zatem zostać całkowicie wykluczone.</w:t>
      </w:r>
    </w:p>
    <w:p w14:paraId="029EA9DA" w14:textId="06AC8E43" w:rsid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>Nie badano wpływu stosowania szamponu na skuteczność produktu.</w:t>
      </w:r>
    </w:p>
    <w:p w14:paraId="24DA485B" w14:textId="77777777" w:rsidR="0003053D" w:rsidRPr="00396A33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0831C70E" w14:textId="77777777" w:rsidR="00266C68" w:rsidRPr="00396A33" w:rsidRDefault="00266C68" w:rsidP="002965A1">
      <w:pPr>
        <w:spacing w:line="276" w:lineRule="auto"/>
        <w:jc w:val="both"/>
        <w:rPr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Specjalne środki ostrożności dla osób podających produkt leczniczy weterynaryjny zwierzętom</w:t>
      </w:r>
      <w:r w:rsidRPr="00396A33">
        <w:rPr>
          <w:bCs/>
          <w:sz w:val="20"/>
          <w:szCs w:val="20"/>
          <w:lang w:val="pl-PL"/>
        </w:rPr>
        <w:t>:</w:t>
      </w:r>
    </w:p>
    <w:p w14:paraId="185F9D12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Przypadkowe połknięcie tego produktu może wywołać działania niepożądane, w tym działanie neurotoksyczne. </w:t>
      </w:r>
    </w:p>
    <w:p w14:paraId="27197FE0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Przechowywać produkt w oryginalnym opakowaniu. Przechowywać obrożę w saszetce do momentu jej zastosowania. </w:t>
      </w:r>
    </w:p>
    <w:p w14:paraId="184B8108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Nie palić, nie jeść i nie pić podczas kontaktu z obrożą. Trzymać z daleka od żywności, napojów </w:t>
      </w:r>
    </w:p>
    <w:p w14:paraId="23A1BC6A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i pasz.  </w:t>
      </w:r>
    </w:p>
    <w:p w14:paraId="0EC6044E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Nie pozwalać dzieciom na bawienie się obrożą, ani na wkładanie jej do ust. Niezwłocznie usuwać wszelkie pozostałości lub odcięte elementy obroży. Po założeniu obroży umyć ręce zimną wodą. </w:t>
      </w:r>
    </w:p>
    <w:p w14:paraId="5D9FD6FC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>Po przypadkowym kontakcie z jamą ustną lub połknięciu należy zasięgnąć porady lekarskiej i pokazać lekarzowi ulotkę informacyjną lub opakowanie.</w:t>
      </w:r>
    </w:p>
    <w:p w14:paraId="580779A8" w14:textId="77777777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>Unikać przedłużonego kontaktu z obrożą lub psem noszącym obrożę. Dotyczy to między innymi unikania spania w jednym łóżku z psem noszącym obrożę; jest to szczególnie ważne w przypadku dzieci.</w:t>
      </w:r>
    </w:p>
    <w:p w14:paraId="47D9775C" w14:textId="78BEEE73" w:rsidR="00266C68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>U szczególnie wrażliwych osób deltametryna może wywoływać reakcje nadwrażliwości (reakcje alergiczne). Osoby ze stwierdzoną nadwrażliwością na deltametrynę powinny unikać kontaktu z tym produktem leczniczym weterynaryjnym i noszącym go zwierzęciem. W przypadku reakcji nadwrażliwości zasięgnąć porady lekarskiej.</w:t>
      </w:r>
    </w:p>
    <w:p w14:paraId="4FCEA098" w14:textId="27F94374" w:rsid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656A1E65" w14:textId="5E2A6D45" w:rsidR="0003053D" w:rsidRPr="0003053D" w:rsidRDefault="0003053D" w:rsidP="0003053D">
      <w:pPr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03053D">
        <w:rPr>
          <w:bCs/>
          <w:sz w:val="20"/>
          <w:szCs w:val="20"/>
          <w:u w:val="single"/>
          <w:lang w:val="pl-PL"/>
        </w:rPr>
        <w:t>Inne środki ostrożności</w:t>
      </w:r>
      <w:r w:rsidRPr="0003053D">
        <w:rPr>
          <w:bCs/>
          <w:sz w:val="20"/>
          <w:szCs w:val="20"/>
          <w:lang w:val="pl-PL"/>
        </w:rPr>
        <w:t>:</w:t>
      </w:r>
    </w:p>
    <w:p w14:paraId="209D78D5" w14:textId="7BFFB2DC" w:rsidR="0003053D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Mimo iż sporadyczny kontakt z wodą nie zmniejsza skuteczności obroży, deltametryna jest toksyczna dla ryb i innych organizmów wodnych. Psy noszące obrożę nie powinny pływać w ciekach wodnych.  </w:t>
      </w:r>
    </w:p>
    <w:p w14:paraId="1B7D9623" w14:textId="77777777" w:rsidR="0003053D" w:rsidRPr="00396A33" w:rsidRDefault="0003053D" w:rsidP="0003053D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7CC4CDEC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Ciąża i laktacja</w:t>
      </w:r>
      <w:r w:rsidRPr="00396A33">
        <w:rPr>
          <w:bCs/>
          <w:sz w:val="20"/>
          <w:szCs w:val="20"/>
          <w:lang w:val="pl-PL"/>
        </w:rPr>
        <w:t>:</w:t>
      </w:r>
    </w:p>
    <w:p w14:paraId="5F855A50" w14:textId="75A195B4" w:rsidR="00266C68" w:rsidRDefault="0003053D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Podczas badań laboratoryjnych na szczurach i królikach nie stwierdzono działania teratogennego. Bezpieczeństwo produktu leczniczego weterynaryjnego stosowanego w czasie ciąży nie zostało </w:t>
      </w:r>
      <w:r w:rsidRPr="0003053D">
        <w:rPr>
          <w:bCs/>
          <w:sz w:val="20"/>
          <w:szCs w:val="20"/>
          <w:lang w:val="pl-PL"/>
        </w:rPr>
        <w:lastRenderedPageBreak/>
        <w:t>określone. Nie zaleca się stosowania w czasie ciąży. Można stosować w okresie laktacji.</w:t>
      </w:r>
    </w:p>
    <w:p w14:paraId="52F91A4B" w14:textId="77777777" w:rsidR="0003053D" w:rsidRPr="00396A33" w:rsidRDefault="0003053D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19E69EB5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Interakcje z innymi produktami leczniczymi i inne rodzaje interakcji</w:t>
      </w:r>
      <w:r w:rsidRPr="00396A33">
        <w:rPr>
          <w:bCs/>
          <w:sz w:val="20"/>
          <w:szCs w:val="20"/>
          <w:lang w:val="pl-PL"/>
        </w:rPr>
        <w:t>:</w:t>
      </w:r>
    </w:p>
    <w:p w14:paraId="47D3D4AA" w14:textId="15DCA670" w:rsidR="00266C68" w:rsidRDefault="0003053D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>Nie stosować z innymi lekami przeznaczonymi do leczenia pasożytów zewnętrznych (pyretroidami lub związkami fosforoorganicznymi).</w:t>
      </w:r>
    </w:p>
    <w:p w14:paraId="4CE9C7EA" w14:textId="77777777" w:rsidR="0003053D" w:rsidRPr="00396A33" w:rsidRDefault="0003053D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249264A3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Przedawkowanie (objawy, sposób postępowania przy udzielaniu natychmiastowej pomocy, odtrutki)</w:t>
      </w:r>
      <w:r w:rsidRPr="00396A33">
        <w:rPr>
          <w:bCs/>
          <w:sz w:val="20"/>
          <w:szCs w:val="20"/>
          <w:lang w:val="pl-PL"/>
        </w:rPr>
        <w:t>:</w:t>
      </w:r>
    </w:p>
    <w:p w14:paraId="636A41FA" w14:textId="3C270FC6" w:rsidR="007E366F" w:rsidRDefault="0003053D" w:rsidP="002965A1">
      <w:pPr>
        <w:spacing w:line="276" w:lineRule="auto"/>
        <w:rPr>
          <w:bCs/>
          <w:sz w:val="20"/>
          <w:szCs w:val="20"/>
          <w:lang w:val="pl-PL"/>
        </w:rPr>
      </w:pPr>
      <w:r w:rsidRPr="0003053D">
        <w:rPr>
          <w:sz w:val="20"/>
          <w:szCs w:val="20"/>
          <w:lang w:val="pl-PL"/>
        </w:rPr>
        <w:t xml:space="preserve">W razie przypadkowego połknięcia obroży przez psa należy zwrócić się do lekarza weterynarii. Mogą wystąpić następujące objawy zatrucia: nieskoordynowane poruszanie się, drżenie, nadmiernie ślinienie się, wymioty, drętwienie (sztywność) kończyn tylnych. Objawy te zwykle ustępują samoistnie w ciągu 48 godzin. W przypadku przypadkowego połknięcia właściciel zwierzęcia powinien skontaktować się z lekarzem weterynarii i nie powinien rozpoczynać leczenia objawowego. Lekarz weterynarii powinien ocenić konieczność wprowadzenia leczenia objawowego. </w:t>
      </w:r>
      <w:r w:rsidR="007E366F">
        <w:rPr>
          <w:bCs/>
          <w:sz w:val="20"/>
          <w:szCs w:val="20"/>
          <w:lang w:val="pl-PL"/>
        </w:rPr>
        <w:br w:type="page"/>
      </w:r>
    </w:p>
    <w:p w14:paraId="7E71FCDE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75FEC3CF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Niezgodności farmaceutyczne</w:t>
      </w:r>
      <w:r w:rsidRPr="00396A33">
        <w:rPr>
          <w:bCs/>
          <w:sz w:val="20"/>
          <w:szCs w:val="20"/>
          <w:lang w:val="pl-PL"/>
        </w:rPr>
        <w:t>:</w:t>
      </w:r>
    </w:p>
    <w:p w14:paraId="3BE46102" w14:textId="1165C1A5" w:rsidR="008370F1" w:rsidRPr="009B2DEA" w:rsidRDefault="0003053D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3053D">
        <w:rPr>
          <w:sz w:val="20"/>
          <w:szCs w:val="20"/>
          <w:lang w:val="pl-PL"/>
        </w:rPr>
        <w:t>Nie dotyczy</w:t>
      </w:r>
    </w:p>
    <w:p w14:paraId="436A6657" w14:textId="77777777" w:rsidR="007E366F" w:rsidRPr="009B2DEA" w:rsidRDefault="007E366F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63E4DE90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13.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SPECJALNE ŚRODKI OSTROŻNOŚCI DOTYCZĄCE USUWANIA NIEZUŻYTEGO PRODUKTU LECZNICZEGO WETERYNARYJNEGO  LUB POCHODZĄCYCH Z NIEGO ODPADÓW</w:t>
      </w:r>
    </w:p>
    <w:p w14:paraId="5C4E49C8" w14:textId="4E6104E7" w:rsidR="00396A33" w:rsidRPr="0003053D" w:rsidRDefault="0003053D" w:rsidP="004E4D72">
      <w:pPr>
        <w:tabs>
          <w:tab w:val="left" w:pos="284"/>
        </w:tabs>
        <w:spacing w:before="120" w:line="276" w:lineRule="auto"/>
        <w:rPr>
          <w:bCs/>
          <w:sz w:val="20"/>
          <w:szCs w:val="20"/>
          <w:lang w:val="pl-PL"/>
        </w:rPr>
      </w:pPr>
      <w:r w:rsidRPr="0003053D">
        <w:rPr>
          <w:bCs/>
          <w:sz w:val="20"/>
          <w:szCs w:val="20"/>
          <w:lang w:val="pl-PL"/>
        </w:rPr>
        <w:t xml:space="preserve">Niewykorzystany produkt leczniczy weterynaryjny lub jego odpady należy usunąć w sposób zgodny </w:t>
      </w:r>
      <w:r>
        <w:rPr>
          <w:bCs/>
          <w:sz w:val="20"/>
          <w:szCs w:val="20"/>
          <w:lang w:val="pl-PL"/>
        </w:rPr>
        <w:br/>
      </w:r>
      <w:r w:rsidRPr="0003053D">
        <w:rPr>
          <w:bCs/>
          <w:sz w:val="20"/>
          <w:szCs w:val="20"/>
          <w:lang w:val="pl-PL"/>
        </w:rPr>
        <w:t>z obowiązującymi przepisami.</w:t>
      </w:r>
      <w:r>
        <w:rPr>
          <w:bCs/>
          <w:sz w:val="20"/>
          <w:szCs w:val="20"/>
          <w:lang w:val="pl-PL"/>
        </w:rPr>
        <w:br/>
      </w:r>
      <w:r w:rsidRPr="0003053D">
        <w:rPr>
          <w:bCs/>
          <w:sz w:val="20"/>
          <w:szCs w:val="20"/>
          <w:lang w:val="pl-PL"/>
        </w:rPr>
        <w:t xml:space="preserve">Produkt nie powinien przedostawać się do cieków wodnych, ponieważ może stwarzać zagrożenie </w:t>
      </w:r>
      <w:r w:rsidR="004E4D72">
        <w:rPr>
          <w:bCs/>
          <w:sz w:val="20"/>
          <w:szCs w:val="20"/>
          <w:lang w:val="pl-PL"/>
        </w:rPr>
        <w:br/>
      </w:r>
      <w:r w:rsidRPr="0003053D">
        <w:rPr>
          <w:bCs/>
          <w:sz w:val="20"/>
          <w:szCs w:val="20"/>
          <w:lang w:val="pl-PL"/>
        </w:rPr>
        <w:t>dla ryb i innych organizmów wodnych.</w:t>
      </w:r>
    </w:p>
    <w:p w14:paraId="4271571F" w14:textId="77777777" w:rsidR="00DA2E0F" w:rsidRPr="00396A33" w:rsidRDefault="00DA2E0F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11281575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14.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DATA ZATWIERDZENIA LUB OSTATNIEJ ZMIANY TEKSTU ULOTKI</w:t>
      </w:r>
    </w:p>
    <w:p w14:paraId="49CBF123" w14:textId="77777777" w:rsidR="008370F1" w:rsidRPr="00396A33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FEE9811" w14:textId="77777777" w:rsidR="00F050BB" w:rsidRPr="006C28DD" w:rsidRDefault="00F050BB" w:rsidP="006C28DD">
      <w:pPr>
        <w:rPr>
          <w:sz w:val="20"/>
          <w:lang w:val="pl-PL"/>
        </w:rPr>
      </w:pPr>
    </w:p>
    <w:p w14:paraId="6F4CA189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15.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INNE INFORMACJE</w:t>
      </w:r>
    </w:p>
    <w:p w14:paraId="69DDEB0B" w14:textId="77777777" w:rsidR="00396A33" w:rsidRDefault="00396A33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Dostępne opakowania</w:t>
      </w:r>
      <w:r w:rsidR="00863A89">
        <w:rPr>
          <w:sz w:val="20"/>
          <w:szCs w:val="20"/>
          <w:lang w:val="pl-PL"/>
        </w:rPr>
        <w:t>:</w:t>
      </w:r>
    </w:p>
    <w:p w14:paraId="4776AB86" w14:textId="4409E492" w:rsidR="000B6293" w:rsidRPr="000B6293" w:rsidRDefault="000B6293" w:rsidP="000B6293">
      <w:pPr>
        <w:spacing w:line="276" w:lineRule="auto"/>
        <w:jc w:val="both"/>
        <w:rPr>
          <w:sz w:val="20"/>
          <w:szCs w:val="20"/>
          <w:lang w:val="pl-PL"/>
        </w:rPr>
      </w:pPr>
      <w:r w:rsidRPr="000B6293">
        <w:rPr>
          <w:sz w:val="20"/>
          <w:szCs w:val="20"/>
          <w:lang w:val="pl-PL"/>
        </w:rPr>
        <w:t xml:space="preserve">Każda obroża lecznicza o wielkości </w:t>
      </w:r>
      <w:r w:rsidR="00BC5D60">
        <w:rPr>
          <w:sz w:val="20"/>
          <w:szCs w:val="20"/>
          <w:lang w:val="pl-PL"/>
        </w:rPr>
        <w:t>7</w:t>
      </w:r>
      <w:r w:rsidRPr="000B6293">
        <w:rPr>
          <w:sz w:val="20"/>
          <w:szCs w:val="20"/>
          <w:lang w:val="pl-PL"/>
        </w:rPr>
        <w:t>5 cm pakowana jest w saszetkę PET/Aluminium/PP.</w:t>
      </w:r>
    </w:p>
    <w:p w14:paraId="2E9F1DA1" w14:textId="77777777" w:rsidR="000B6293" w:rsidRPr="000B6293" w:rsidRDefault="000B6293" w:rsidP="000B6293">
      <w:pPr>
        <w:spacing w:line="276" w:lineRule="auto"/>
        <w:jc w:val="both"/>
        <w:rPr>
          <w:sz w:val="20"/>
          <w:szCs w:val="20"/>
          <w:lang w:val="pl-PL"/>
        </w:rPr>
      </w:pPr>
      <w:r w:rsidRPr="000B6293">
        <w:rPr>
          <w:sz w:val="20"/>
          <w:szCs w:val="20"/>
          <w:lang w:val="pl-PL"/>
        </w:rPr>
        <w:t>1 lub 2 saszetki umieszczane są w tekturowym pudełku lub metalowym pudełku.</w:t>
      </w:r>
    </w:p>
    <w:p w14:paraId="17D15605" w14:textId="54DDCB71" w:rsidR="000B6293" w:rsidRDefault="000B6293" w:rsidP="000B6293">
      <w:pPr>
        <w:spacing w:line="276" w:lineRule="auto"/>
        <w:jc w:val="both"/>
        <w:rPr>
          <w:sz w:val="20"/>
          <w:szCs w:val="20"/>
          <w:lang w:val="pl-PL"/>
        </w:rPr>
      </w:pPr>
      <w:r w:rsidRPr="000B6293">
        <w:rPr>
          <w:sz w:val="20"/>
          <w:szCs w:val="20"/>
          <w:lang w:val="pl-PL"/>
        </w:rPr>
        <w:t>Niektóre wielkości opakowań mogą nie być dostępne w obrocie.</w:t>
      </w:r>
      <w:r>
        <w:rPr>
          <w:sz w:val="20"/>
          <w:szCs w:val="20"/>
          <w:lang w:val="pl-PL"/>
        </w:rPr>
        <w:t xml:space="preserve"> </w:t>
      </w:r>
    </w:p>
    <w:p w14:paraId="5BD28EC8" w14:textId="77777777" w:rsidR="000B6293" w:rsidRDefault="000B6293" w:rsidP="000B6293">
      <w:pPr>
        <w:spacing w:line="276" w:lineRule="auto"/>
        <w:jc w:val="both"/>
        <w:rPr>
          <w:sz w:val="20"/>
          <w:szCs w:val="20"/>
          <w:lang w:val="pl-PL"/>
        </w:rPr>
      </w:pPr>
    </w:p>
    <w:p w14:paraId="66710B14" w14:textId="2AD3BB9E" w:rsidR="00863A89" w:rsidRPr="00863A89" w:rsidRDefault="00863A89" w:rsidP="000B6293">
      <w:pPr>
        <w:spacing w:line="276" w:lineRule="auto"/>
        <w:jc w:val="both"/>
        <w:rPr>
          <w:b/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W celu uzyskania informacji na temat niniejszego produktu leczniczego weterynaryjnego, należy kontaktować się z lokalnymi przedstawicielami podmiotu odpowiedzialnego:</w:t>
      </w:r>
    </w:p>
    <w:p w14:paraId="19C2E033" w14:textId="77777777" w:rsidR="00863A89" w:rsidRPr="002965A1" w:rsidRDefault="00863A89" w:rsidP="002965A1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</w:p>
    <w:p w14:paraId="641FD2FA" w14:textId="77777777" w:rsidR="00863A89" w:rsidRPr="00863A89" w:rsidRDefault="00863A89" w:rsidP="002965A1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LIVISTO Sp. z o.o.</w:t>
      </w:r>
    </w:p>
    <w:p w14:paraId="33EDA17B" w14:textId="77777777" w:rsidR="00863A89" w:rsidRPr="00863A89" w:rsidRDefault="00863A89" w:rsidP="002965A1">
      <w:pPr>
        <w:spacing w:line="276" w:lineRule="auto"/>
        <w:ind w:left="567" w:hanging="567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ul. Chwaszczyńska 198a</w:t>
      </w:r>
    </w:p>
    <w:p w14:paraId="3E58AB4C" w14:textId="77777777" w:rsidR="00863A89" w:rsidRPr="002965A1" w:rsidRDefault="00863A89" w:rsidP="002965A1">
      <w:pPr>
        <w:spacing w:line="276" w:lineRule="auto"/>
        <w:ind w:left="567" w:hanging="567"/>
        <w:jc w:val="both"/>
        <w:rPr>
          <w:b/>
          <w:bCs/>
          <w:sz w:val="20"/>
          <w:szCs w:val="20"/>
        </w:rPr>
      </w:pPr>
      <w:r w:rsidRPr="00863A89">
        <w:rPr>
          <w:sz w:val="20"/>
          <w:szCs w:val="20"/>
        </w:rPr>
        <w:t>81-571 Gdynia</w:t>
      </w:r>
    </w:p>
    <w:sectPr w:rsidR="00863A89" w:rsidRPr="002965A1" w:rsidSect="00437D0C">
      <w:headerReference w:type="default" r:id="rId9"/>
      <w:footerReference w:type="default" r:id="rId10"/>
      <w:type w:val="continuous"/>
      <w:pgSz w:w="11910" w:h="16840" w:code="9"/>
      <w:pgMar w:top="2552" w:right="1418" w:bottom="1418" w:left="1418" w:header="425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7463" w14:textId="77777777" w:rsidR="00A07AA5" w:rsidRDefault="00A07AA5">
      <w:r>
        <w:separator/>
      </w:r>
    </w:p>
  </w:endnote>
  <w:endnote w:type="continuationSeparator" w:id="0">
    <w:p w14:paraId="44A5C433" w14:textId="77777777" w:rsidR="00A07AA5" w:rsidRDefault="00A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13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650144" w14:textId="77777777" w:rsidR="00863A89" w:rsidRPr="0047437B" w:rsidRDefault="00F43978">
            <w:pPr>
              <w:pStyle w:val="Stopka"/>
              <w:jc w:val="center"/>
            </w:pPr>
            <w:r w:rsidRPr="00CE5C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2DDCB4C" wp14:editId="41CD0969">
                      <wp:simplePos x="0" y="0"/>
                      <wp:positionH relativeFrom="page">
                        <wp:posOffset>6850380</wp:posOffset>
                      </wp:positionH>
                      <wp:positionV relativeFrom="page">
                        <wp:posOffset>10052685</wp:posOffset>
                      </wp:positionV>
                      <wp:extent cx="497840" cy="139700"/>
                      <wp:effectExtent l="0" t="0" r="1651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33512" w14:textId="77777777" w:rsidR="00F43978" w:rsidRDefault="00F43978" w:rsidP="00F43978">
                                  <w:pPr>
                                    <w:spacing w:before="1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E1003A"/>
                                      <w:sz w:val="16"/>
                                    </w:rPr>
                                    <w:t>livisto.com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06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9.4pt;margin-top:791.55pt;width:3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02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" filled="f" stroked="f">
                      <v:textbox inset="0,0,0,0">
                        <w:txbxContent>
                          <w:p w:rsidR="00F43978" w:rsidRDefault="00F43978" w:rsidP="00F43978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E1003A"/>
                                <w:sz w:val="16"/>
                              </w:rPr>
                              <w:t>livisto.com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5C69">
              <w:rPr>
                <w:noProof/>
                <w:sz w:val="16"/>
                <w:szCs w:val="16"/>
              </w:rPr>
              <w:drawing>
                <wp:anchor distT="0" distB="0" distL="0" distR="0" simplePos="0" relativeHeight="251657216" behindDoc="1" locked="0" layoutInCell="1" allowOverlap="1" wp14:anchorId="71EEE313" wp14:editId="748A3940">
                  <wp:simplePos x="0" y="0"/>
                  <wp:positionH relativeFrom="page">
                    <wp:posOffset>685223</wp:posOffset>
                  </wp:positionH>
                  <wp:positionV relativeFrom="page">
                    <wp:posOffset>9805035</wp:posOffset>
                  </wp:positionV>
                  <wp:extent cx="1633806" cy="49639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06" cy="49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3A89" w:rsidRPr="00CE5C69">
              <w:rPr>
                <w:sz w:val="16"/>
                <w:szCs w:val="16"/>
                <w:lang w:val="pl-PL"/>
              </w:rPr>
              <w:t xml:space="preserve">Strona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PAGE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3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  <w:r w:rsidR="00863A89" w:rsidRPr="00CE5C69">
              <w:rPr>
                <w:sz w:val="16"/>
                <w:szCs w:val="16"/>
                <w:lang w:val="pl-PL"/>
              </w:rPr>
              <w:t xml:space="preserve"> z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NUMPAGES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4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EE43E0" w14:textId="77777777" w:rsidR="00CF7C7A" w:rsidRDefault="00CF7C7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062E" w14:textId="77777777" w:rsidR="00A07AA5" w:rsidRDefault="00A07AA5">
      <w:r>
        <w:separator/>
      </w:r>
    </w:p>
  </w:footnote>
  <w:footnote w:type="continuationSeparator" w:id="0">
    <w:p w14:paraId="7C2837AF" w14:textId="77777777" w:rsidR="00A07AA5" w:rsidRDefault="00A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B715" w14:textId="77777777" w:rsidR="00CF7C7A" w:rsidRDefault="00A07AA5">
    <w:pPr>
      <w:pStyle w:val="Tekstpodstawowy"/>
      <w:spacing w:line="14" w:lineRule="auto"/>
    </w:pPr>
    <w:r>
      <w:rPr>
        <w:noProof/>
      </w:rPr>
      <w:pict w14:anchorId="3065B8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49" type="#_x0000_t136" style="position:absolute;margin-left:0;margin-top:0;width:403.2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  <w:r w:rsidR="00CF7C7A"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496F5089" wp14:editId="4E717D39">
          <wp:simplePos x="0" y="0"/>
          <wp:positionH relativeFrom="page">
            <wp:posOffset>360794</wp:posOffset>
          </wp:positionH>
          <wp:positionV relativeFrom="page">
            <wp:posOffset>271250</wp:posOffset>
          </wp:positionV>
          <wp:extent cx="1635117" cy="1051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17" cy="1051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F1D"/>
    <w:multiLevelType w:val="hybridMultilevel"/>
    <w:tmpl w:val="E42AE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74E"/>
    <w:multiLevelType w:val="hybridMultilevel"/>
    <w:tmpl w:val="54DAB428"/>
    <w:lvl w:ilvl="0" w:tplc="D67CFE1C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9D0A23E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BAA2DE">
      <w:numFmt w:val="bullet"/>
      <w:lvlText w:val="•"/>
      <w:lvlJc w:val="left"/>
      <w:pPr>
        <w:ind w:left="1887" w:hanging="356"/>
      </w:pPr>
      <w:rPr>
        <w:rFonts w:hint="default"/>
      </w:rPr>
    </w:lvl>
    <w:lvl w:ilvl="3" w:tplc="C41A97F6"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3B00C310">
      <w:numFmt w:val="bullet"/>
      <w:lvlText w:val="•"/>
      <w:lvlJc w:val="left"/>
      <w:pPr>
        <w:ind w:left="4022" w:hanging="356"/>
      </w:pPr>
      <w:rPr>
        <w:rFonts w:hint="default"/>
      </w:rPr>
    </w:lvl>
    <w:lvl w:ilvl="5" w:tplc="E3329646">
      <w:numFmt w:val="bullet"/>
      <w:lvlText w:val="•"/>
      <w:lvlJc w:val="left"/>
      <w:pPr>
        <w:ind w:left="5089" w:hanging="356"/>
      </w:pPr>
      <w:rPr>
        <w:rFonts w:hint="default"/>
      </w:rPr>
    </w:lvl>
    <w:lvl w:ilvl="6" w:tplc="9740D7A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F164447E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1FFC6848">
      <w:numFmt w:val="bullet"/>
      <w:lvlText w:val="•"/>
      <w:lvlJc w:val="left"/>
      <w:pPr>
        <w:ind w:left="8291" w:hanging="356"/>
      </w:pPr>
      <w:rPr>
        <w:rFonts w:hint="default"/>
      </w:rPr>
    </w:lvl>
  </w:abstractNum>
  <w:abstractNum w:abstractNumId="2" w15:restartNumberingAfterBreak="0">
    <w:nsid w:val="3D325666"/>
    <w:multiLevelType w:val="hybridMultilevel"/>
    <w:tmpl w:val="2654C124"/>
    <w:lvl w:ilvl="0" w:tplc="DB0CE7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2A4F"/>
    <w:multiLevelType w:val="hybridMultilevel"/>
    <w:tmpl w:val="C0CCED52"/>
    <w:lvl w:ilvl="0" w:tplc="6C463C22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080B"/>
    <w:multiLevelType w:val="hybridMultilevel"/>
    <w:tmpl w:val="C94AD02C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2678"/>
    <w:multiLevelType w:val="hybridMultilevel"/>
    <w:tmpl w:val="2146D6E4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35888"/>
    <w:multiLevelType w:val="hybridMultilevel"/>
    <w:tmpl w:val="35D0C756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4"/>
    <w:rsid w:val="00022904"/>
    <w:rsid w:val="0003053D"/>
    <w:rsid w:val="00062E26"/>
    <w:rsid w:val="00063E27"/>
    <w:rsid w:val="00070732"/>
    <w:rsid w:val="000B6293"/>
    <w:rsid w:val="000B7D1C"/>
    <w:rsid w:val="00131114"/>
    <w:rsid w:val="001367A5"/>
    <w:rsid w:val="0017372F"/>
    <w:rsid w:val="00201F8C"/>
    <w:rsid w:val="0025675B"/>
    <w:rsid w:val="00266C68"/>
    <w:rsid w:val="002965A1"/>
    <w:rsid w:val="002E0ED2"/>
    <w:rsid w:val="00312DE7"/>
    <w:rsid w:val="00315458"/>
    <w:rsid w:val="0039434D"/>
    <w:rsid w:val="00395D96"/>
    <w:rsid w:val="00396A33"/>
    <w:rsid w:val="00437D0C"/>
    <w:rsid w:val="0047437B"/>
    <w:rsid w:val="004E4D72"/>
    <w:rsid w:val="00537C44"/>
    <w:rsid w:val="00556DB7"/>
    <w:rsid w:val="005A1973"/>
    <w:rsid w:val="005F2C03"/>
    <w:rsid w:val="00642DC3"/>
    <w:rsid w:val="00680665"/>
    <w:rsid w:val="006B7374"/>
    <w:rsid w:val="006C28DD"/>
    <w:rsid w:val="00742EA5"/>
    <w:rsid w:val="007764BD"/>
    <w:rsid w:val="007A2C82"/>
    <w:rsid w:val="007E366F"/>
    <w:rsid w:val="007E4CD7"/>
    <w:rsid w:val="008370F1"/>
    <w:rsid w:val="00863A89"/>
    <w:rsid w:val="00881488"/>
    <w:rsid w:val="008F3303"/>
    <w:rsid w:val="00922807"/>
    <w:rsid w:val="009A4283"/>
    <w:rsid w:val="009B2DEA"/>
    <w:rsid w:val="00A07AA5"/>
    <w:rsid w:val="00A87FB6"/>
    <w:rsid w:val="00B22B85"/>
    <w:rsid w:val="00B77D93"/>
    <w:rsid w:val="00B877A4"/>
    <w:rsid w:val="00BB0BC4"/>
    <w:rsid w:val="00BC24EB"/>
    <w:rsid w:val="00BC5D60"/>
    <w:rsid w:val="00C1547B"/>
    <w:rsid w:val="00C22221"/>
    <w:rsid w:val="00C636B7"/>
    <w:rsid w:val="00C86A81"/>
    <w:rsid w:val="00CE1269"/>
    <w:rsid w:val="00CE5C69"/>
    <w:rsid w:val="00CF7C7A"/>
    <w:rsid w:val="00D17723"/>
    <w:rsid w:val="00D338F0"/>
    <w:rsid w:val="00D511BD"/>
    <w:rsid w:val="00DA2E0F"/>
    <w:rsid w:val="00EA575B"/>
    <w:rsid w:val="00EC4EDC"/>
    <w:rsid w:val="00F050BB"/>
    <w:rsid w:val="00F43978"/>
    <w:rsid w:val="00F611F1"/>
    <w:rsid w:val="00F662F3"/>
    <w:rsid w:val="00F703B0"/>
    <w:rsid w:val="00FA73ED"/>
    <w:rsid w:val="00FD048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94A45E"/>
  <w15:docId w15:val="{288B997A-BAA4-4258-9CD8-96444E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7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8" w:hanging="566"/>
    </w:pPr>
  </w:style>
  <w:style w:type="paragraph" w:customStyle="1" w:styleId="TableParagraph">
    <w:name w:val="Table Paragraph"/>
    <w:basedOn w:val="Normalny"/>
    <w:uiPriority w:val="1"/>
    <w:qFormat/>
    <w:pPr>
      <w:spacing w:before="21"/>
      <w:ind w:left="40"/>
    </w:pPr>
  </w:style>
  <w:style w:type="paragraph" w:customStyle="1" w:styleId="TextkrperFachinformation">
    <w:name w:val="TextkörperFachinformation"/>
    <w:basedOn w:val="Normalny"/>
    <w:link w:val="TextkrperFachinformationChar"/>
    <w:rsid w:val="007A2C82"/>
    <w:pPr>
      <w:widowControl/>
      <w:tabs>
        <w:tab w:val="left" w:pos="567"/>
      </w:tabs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val="de-DE"/>
    </w:rPr>
  </w:style>
  <w:style w:type="character" w:customStyle="1" w:styleId="TextkrperFachinformationChar">
    <w:name w:val="TextkörperFachinformation Char"/>
    <w:link w:val="TextkrperFachinformation"/>
    <w:rsid w:val="007A2C82"/>
    <w:rPr>
      <w:rFonts w:ascii="Times New Roman" w:eastAsia="Times New Roman" w:hAnsi="Times New Roman" w:cs="Times New Roman"/>
      <w:snapToGrid w:val="0"/>
      <w:szCs w:val="20"/>
      <w:lang w:val="de-DE"/>
    </w:rPr>
  </w:style>
  <w:style w:type="paragraph" w:customStyle="1" w:styleId="berschriftFachinfo1">
    <w:name w:val="ÜberschriftFachinfo1"/>
    <w:basedOn w:val="Nagwek1"/>
    <w:rsid w:val="007A2C82"/>
    <w:pPr>
      <w:keepNext/>
      <w:widowControl/>
      <w:tabs>
        <w:tab w:val="left" w:pos="567"/>
      </w:tabs>
      <w:autoSpaceDE/>
      <w:autoSpaceDN/>
      <w:spacing w:before="360" w:after="60"/>
      <w:ind w:left="567" w:hanging="567"/>
    </w:pPr>
    <w:rPr>
      <w:rFonts w:ascii="Times New Roman" w:eastAsia="Times New Roman" w:hAnsi="Times New Roman"/>
      <w:caps/>
      <w:snapToGrid w:val="0"/>
      <w:kern w:val="32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3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5A1973"/>
  </w:style>
  <w:style w:type="paragraph" w:customStyle="1" w:styleId="berschriftFachInfo3">
    <w:name w:val="ÜberschriftFachInfo3"/>
    <w:basedOn w:val="Normalny"/>
    <w:next w:val="TextkrperFachinformation"/>
    <w:rsid w:val="002E0ED2"/>
    <w:pPr>
      <w:keepNext/>
      <w:widowControl/>
      <w:autoSpaceDE/>
      <w:autoSpaceDN/>
      <w:spacing w:before="120"/>
      <w:outlineLvl w:val="0"/>
    </w:pPr>
    <w:rPr>
      <w:rFonts w:ascii="Times New Roman" w:eastAsia="Times New Roman" w:hAnsi="Times New Roman"/>
      <w:b/>
      <w:bCs/>
      <w:noProof/>
      <w:snapToGrid w:val="0"/>
      <w:kern w:val="32"/>
      <w:lang w:val="de-DE"/>
    </w:rPr>
  </w:style>
  <w:style w:type="character" w:customStyle="1" w:styleId="TextkrperFachinformationZchn">
    <w:name w:val="TextkörperFachinformation Zchn"/>
    <w:rsid w:val="002E0ED2"/>
    <w:rPr>
      <w:snapToGrid w:val="0"/>
      <w:sz w:val="22"/>
      <w:lang w:val="en-GB" w:eastAsia="en-US" w:bidi="ar-SA"/>
    </w:rPr>
  </w:style>
  <w:style w:type="paragraph" w:customStyle="1" w:styleId="AufzhlungFachinfo">
    <w:name w:val="Aufzählung Fachinfo"/>
    <w:basedOn w:val="Normalny"/>
    <w:rsid w:val="002E0ED2"/>
    <w:pPr>
      <w:widowControl/>
      <w:numPr>
        <w:numId w:val="2"/>
      </w:numPr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A736-166F-426C-ACE0-DECFA1CC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1205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Beckmann</dc:creator>
  <cp:lastModifiedBy>Livisto</cp:lastModifiedBy>
  <cp:revision>10</cp:revision>
  <cp:lastPrinted>2018-01-29T11:14:00Z</cp:lastPrinted>
  <dcterms:created xsi:type="dcterms:W3CDTF">2018-02-06T13:35:00Z</dcterms:created>
  <dcterms:modified xsi:type="dcterms:W3CDTF">2020-12-17T09:28:00Z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2018-01-10T00:00:00Z</vt:filetime>
  </property>
</Properties>
</file>